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A56B" w14:textId="57EB7FD3" w:rsidR="001538A4" w:rsidRDefault="00601470" w:rsidP="0022706D">
      <w:pPr>
        <w:pStyle w:val="NoSpacing"/>
      </w:pPr>
      <w:r>
        <w:rPr>
          <w:noProof/>
        </w:rPr>
        <w:drawing>
          <wp:inline distT="0" distB="0" distL="0" distR="0" wp14:anchorId="0093B545" wp14:editId="3D9DD5F5">
            <wp:extent cx="4021797" cy="579103"/>
            <wp:effectExtent l="0" t="0" r="0" b="0"/>
            <wp:docPr id="723858268" name="Picture 2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58268" name="Picture 20" descr="A black background with white text&#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158848" cy="598837"/>
                    </a:xfrm>
                    <a:prstGeom prst="rect">
                      <a:avLst/>
                    </a:prstGeom>
                    <a:noFill/>
                    <a:ln>
                      <a:noFill/>
                    </a:ln>
                  </pic:spPr>
                </pic:pic>
              </a:graphicData>
            </a:graphic>
          </wp:inline>
        </w:drawing>
      </w:r>
    </w:p>
    <w:p w14:paraId="0029F378" w14:textId="77777777" w:rsidR="0022706D" w:rsidRDefault="0022706D" w:rsidP="0022706D">
      <w:pPr>
        <w:pStyle w:val="NoSpacing"/>
      </w:pPr>
    </w:p>
    <w:p w14:paraId="0E4B36EB" w14:textId="0AAC1CF3" w:rsidR="007A4D3D" w:rsidRDefault="007A4D3D" w:rsidP="007A4D3D">
      <w:pPr>
        <w:pStyle w:val="NoSpacing"/>
      </w:pPr>
    </w:p>
    <w:p w14:paraId="1F30DF5A" w14:textId="16A3CFBC" w:rsidR="0086568C" w:rsidRPr="0086568C" w:rsidRDefault="0086568C" w:rsidP="0086568C">
      <w:pPr>
        <w:pStyle w:val="NoSpacing"/>
        <w:jc w:val="center"/>
        <w:rPr>
          <w:b/>
          <w:bCs/>
          <w:sz w:val="28"/>
          <w:szCs w:val="28"/>
        </w:rPr>
      </w:pPr>
      <w:r w:rsidRPr="0086568C">
        <w:rPr>
          <w:b/>
          <w:bCs/>
          <w:sz w:val="28"/>
          <w:szCs w:val="28"/>
        </w:rPr>
        <w:t>Portfolio Management Strategy</w:t>
      </w:r>
    </w:p>
    <w:p w14:paraId="3B476925" w14:textId="77777777" w:rsidR="0086568C" w:rsidRDefault="0086568C" w:rsidP="00862AD0">
      <w:pPr>
        <w:pStyle w:val="NoSpacing"/>
      </w:pPr>
    </w:p>
    <w:p w14:paraId="46395746" w14:textId="77777777" w:rsidR="00A625ED" w:rsidRDefault="00A625ED" w:rsidP="00A625ED">
      <w:pPr>
        <w:pStyle w:val="NoSpacing"/>
        <w:rPr>
          <w:b/>
          <w:bCs/>
        </w:rPr>
      </w:pPr>
      <w:r>
        <w:rPr>
          <w:b/>
          <w:bCs/>
        </w:rPr>
        <w:t xml:space="preserve">Table of </w:t>
      </w:r>
      <w:r w:rsidRPr="0086568C">
        <w:rPr>
          <w:b/>
          <w:bCs/>
        </w:rPr>
        <w:t>Contents</w:t>
      </w:r>
    </w:p>
    <w:p w14:paraId="710A7E02" w14:textId="77777777" w:rsidR="00A625ED" w:rsidRDefault="00A625ED" w:rsidP="00A625ED">
      <w:pPr>
        <w:pStyle w:val="NoSpacing"/>
      </w:pPr>
    </w:p>
    <w:p w14:paraId="20D5ED7A" w14:textId="1AE2AE07" w:rsidR="00A625ED" w:rsidRPr="00D270DF" w:rsidRDefault="00A625ED" w:rsidP="00A625ED">
      <w:pPr>
        <w:pStyle w:val="NoSpacing"/>
        <w:numPr>
          <w:ilvl w:val="0"/>
          <w:numId w:val="5"/>
        </w:numPr>
        <w:rPr>
          <w:sz w:val="22"/>
          <w:szCs w:val="22"/>
        </w:rPr>
      </w:pPr>
      <w:r w:rsidRPr="00D270DF">
        <w:rPr>
          <w:sz w:val="22"/>
          <w:szCs w:val="22"/>
        </w:rPr>
        <w:t>Scope</w:t>
      </w:r>
    </w:p>
    <w:p w14:paraId="42F9E41C" w14:textId="4A77110D" w:rsidR="00A625ED" w:rsidRDefault="00D270DF" w:rsidP="00A625ED">
      <w:pPr>
        <w:pStyle w:val="NoSpacing"/>
        <w:numPr>
          <w:ilvl w:val="0"/>
          <w:numId w:val="5"/>
        </w:numPr>
        <w:rPr>
          <w:sz w:val="22"/>
          <w:szCs w:val="22"/>
        </w:rPr>
      </w:pPr>
      <w:r>
        <w:rPr>
          <w:sz w:val="22"/>
          <w:szCs w:val="22"/>
        </w:rPr>
        <w:t>Due Diligence</w:t>
      </w:r>
      <w:r w:rsidR="00A625ED" w:rsidRPr="00D270DF">
        <w:rPr>
          <w:sz w:val="22"/>
          <w:szCs w:val="22"/>
        </w:rPr>
        <w:t>, Projections and Bidding Process on New Portfolio Forward Flow Opportunities</w:t>
      </w:r>
    </w:p>
    <w:p w14:paraId="30F90DCB" w14:textId="1A69B269" w:rsidR="00D270DF" w:rsidRDefault="00D270DF" w:rsidP="00D270DF">
      <w:pPr>
        <w:pStyle w:val="NoSpacing"/>
        <w:ind w:left="360" w:firstLine="360"/>
        <w:rPr>
          <w:sz w:val="22"/>
          <w:szCs w:val="22"/>
        </w:rPr>
      </w:pPr>
      <w:r>
        <w:rPr>
          <w:sz w:val="22"/>
          <w:szCs w:val="22"/>
        </w:rPr>
        <w:t>2.1 – Investment Model</w:t>
      </w:r>
    </w:p>
    <w:p w14:paraId="440E4FC2" w14:textId="743CAF2E" w:rsidR="00D270DF" w:rsidRPr="00D270DF" w:rsidRDefault="00D270DF" w:rsidP="00D270DF">
      <w:pPr>
        <w:pStyle w:val="NoSpacing"/>
        <w:ind w:left="360" w:firstLine="360"/>
        <w:rPr>
          <w:sz w:val="22"/>
          <w:szCs w:val="22"/>
        </w:rPr>
      </w:pPr>
      <w:r>
        <w:rPr>
          <w:sz w:val="22"/>
          <w:szCs w:val="22"/>
        </w:rPr>
        <w:t xml:space="preserve">2.2 </w:t>
      </w:r>
      <w:r w:rsidR="00C07E6E">
        <w:rPr>
          <w:sz w:val="22"/>
          <w:szCs w:val="22"/>
        </w:rPr>
        <w:t>–</w:t>
      </w:r>
      <w:r>
        <w:rPr>
          <w:sz w:val="22"/>
          <w:szCs w:val="22"/>
        </w:rPr>
        <w:t xml:space="preserve"> </w:t>
      </w:r>
      <w:r w:rsidR="00C07E6E">
        <w:rPr>
          <w:sz w:val="22"/>
          <w:szCs w:val="22"/>
        </w:rPr>
        <w:t>Due Diligence and Price Dete</w:t>
      </w:r>
      <w:r w:rsidR="00812C09">
        <w:rPr>
          <w:sz w:val="22"/>
          <w:szCs w:val="22"/>
        </w:rPr>
        <w:t>r</w:t>
      </w:r>
      <w:r w:rsidR="00C07E6E">
        <w:rPr>
          <w:sz w:val="22"/>
          <w:szCs w:val="22"/>
        </w:rPr>
        <w:t>mination</w:t>
      </w:r>
    </w:p>
    <w:p w14:paraId="45ACBF8B" w14:textId="3A001280" w:rsidR="00D31BB1" w:rsidRDefault="00D31BB1" w:rsidP="00A625ED">
      <w:pPr>
        <w:pStyle w:val="NoSpacing"/>
        <w:numPr>
          <w:ilvl w:val="0"/>
          <w:numId w:val="5"/>
        </w:numPr>
        <w:rPr>
          <w:sz w:val="22"/>
          <w:szCs w:val="22"/>
        </w:rPr>
      </w:pPr>
      <w:r>
        <w:rPr>
          <w:sz w:val="22"/>
          <w:szCs w:val="22"/>
        </w:rPr>
        <w:t xml:space="preserve">Contingency Collection Strategy </w:t>
      </w:r>
    </w:p>
    <w:p w14:paraId="3B22EA15" w14:textId="105C72CC" w:rsidR="00A625ED" w:rsidRDefault="0092078C" w:rsidP="00A625ED">
      <w:pPr>
        <w:pStyle w:val="NoSpacing"/>
        <w:numPr>
          <w:ilvl w:val="0"/>
          <w:numId w:val="5"/>
        </w:numPr>
        <w:rPr>
          <w:sz w:val="22"/>
          <w:szCs w:val="22"/>
        </w:rPr>
      </w:pPr>
      <w:r>
        <w:rPr>
          <w:sz w:val="22"/>
          <w:szCs w:val="22"/>
        </w:rPr>
        <w:t xml:space="preserve">Insurance Policies </w:t>
      </w:r>
    </w:p>
    <w:p w14:paraId="4A6E259A" w14:textId="77777777" w:rsidR="00C6381D" w:rsidRDefault="00C6381D" w:rsidP="00C6381D">
      <w:pPr>
        <w:pStyle w:val="NoSpacing"/>
        <w:ind w:left="720"/>
        <w:rPr>
          <w:sz w:val="22"/>
          <w:szCs w:val="22"/>
        </w:rPr>
      </w:pPr>
      <w:r w:rsidRPr="00270151">
        <w:rPr>
          <w:sz w:val="22"/>
          <w:szCs w:val="22"/>
        </w:rPr>
        <w:t>4.1 – Debt Settlement Company (“DSC”) Accounts</w:t>
      </w:r>
    </w:p>
    <w:p w14:paraId="7EA55CFC" w14:textId="77777777" w:rsidR="00C6381D" w:rsidRDefault="00C6381D" w:rsidP="00C6381D">
      <w:pPr>
        <w:pStyle w:val="NoSpacing"/>
        <w:ind w:left="720"/>
        <w:rPr>
          <w:sz w:val="22"/>
          <w:szCs w:val="22"/>
        </w:rPr>
      </w:pPr>
      <w:r>
        <w:rPr>
          <w:sz w:val="22"/>
          <w:szCs w:val="22"/>
        </w:rPr>
        <w:t>4.1.2 – DSC Strategies</w:t>
      </w:r>
    </w:p>
    <w:p w14:paraId="7E21161F" w14:textId="590C2341" w:rsidR="00C6381D" w:rsidRDefault="00C6381D" w:rsidP="00C6381D">
      <w:pPr>
        <w:pStyle w:val="NoSpacing"/>
        <w:ind w:left="720"/>
        <w:rPr>
          <w:sz w:val="22"/>
          <w:szCs w:val="22"/>
        </w:rPr>
      </w:pPr>
      <w:r>
        <w:rPr>
          <w:sz w:val="22"/>
          <w:szCs w:val="22"/>
        </w:rPr>
        <w:t>4.2 – Sales of Residual Inventory</w:t>
      </w:r>
    </w:p>
    <w:p w14:paraId="3F885B68" w14:textId="5559BFC8" w:rsidR="00091D29" w:rsidRPr="001325BE" w:rsidRDefault="00F56F18" w:rsidP="00091D29">
      <w:pPr>
        <w:pStyle w:val="NoSpacing"/>
        <w:numPr>
          <w:ilvl w:val="0"/>
          <w:numId w:val="5"/>
        </w:numPr>
        <w:rPr>
          <w:sz w:val="22"/>
          <w:szCs w:val="22"/>
        </w:rPr>
      </w:pPr>
      <w:r>
        <w:rPr>
          <w:sz w:val="22"/>
          <w:szCs w:val="22"/>
        </w:rPr>
        <w:t xml:space="preserve">Performance </w:t>
      </w:r>
    </w:p>
    <w:p w14:paraId="6BE79B22" w14:textId="77777777" w:rsidR="00A625ED" w:rsidRDefault="00A625ED" w:rsidP="00862AD0">
      <w:pPr>
        <w:pStyle w:val="NoSpacing"/>
        <w:rPr>
          <w:b/>
          <w:bCs/>
        </w:rPr>
      </w:pPr>
    </w:p>
    <w:p w14:paraId="1E7EB657" w14:textId="77777777" w:rsidR="001325BE" w:rsidRDefault="001325BE" w:rsidP="00862AD0">
      <w:pPr>
        <w:pStyle w:val="NoSpacing"/>
        <w:rPr>
          <w:b/>
          <w:bCs/>
        </w:rPr>
      </w:pPr>
    </w:p>
    <w:p w14:paraId="1FADD9DF" w14:textId="66805425" w:rsidR="0086568C" w:rsidRPr="0086568C" w:rsidRDefault="00A625ED" w:rsidP="00A625ED">
      <w:pPr>
        <w:pStyle w:val="NoSpacing"/>
        <w:numPr>
          <w:ilvl w:val="0"/>
          <w:numId w:val="8"/>
        </w:numPr>
        <w:rPr>
          <w:b/>
          <w:bCs/>
        </w:rPr>
      </w:pPr>
      <w:r>
        <w:rPr>
          <w:b/>
          <w:bCs/>
        </w:rPr>
        <w:t xml:space="preserve">- </w:t>
      </w:r>
      <w:r w:rsidR="0086568C" w:rsidRPr="0086568C">
        <w:rPr>
          <w:b/>
          <w:bCs/>
        </w:rPr>
        <w:t xml:space="preserve">Scope </w:t>
      </w:r>
    </w:p>
    <w:p w14:paraId="3C7AAC86" w14:textId="0A9D71C1" w:rsidR="0086568C" w:rsidRPr="00883001" w:rsidRDefault="0086568C" w:rsidP="00862AD0">
      <w:pPr>
        <w:pStyle w:val="NoSpacing"/>
        <w:rPr>
          <w:sz w:val="22"/>
          <w:szCs w:val="22"/>
        </w:rPr>
      </w:pPr>
      <w:r w:rsidRPr="00D270DF">
        <w:rPr>
          <w:sz w:val="22"/>
          <w:szCs w:val="22"/>
        </w:rPr>
        <w:t xml:space="preserve">Nexa Asset Acquisitions, LLC (“NAA”) won the bid on two (2) 12-month forward flow opportunities in late 2024.  NAA secured a third 12-month forward flow opportunity in September 2025.   This document illustrates every aspect of overall portfolio management strategy for these three (3) monthly forward flows as listed out in the </w:t>
      </w:r>
      <w:r w:rsidR="00A625ED" w:rsidRPr="00D270DF">
        <w:rPr>
          <w:sz w:val="22"/>
          <w:szCs w:val="22"/>
        </w:rPr>
        <w:t>above</w:t>
      </w:r>
      <w:r w:rsidRPr="00D270DF">
        <w:rPr>
          <w:sz w:val="22"/>
          <w:szCs w:val="22"/>
        </w:rPr>
        <w:t xml:space="preserve"> table of contents.  </w:t>
      </w:r>
    </w:p>
    <w:p w14:paraId="45FEF18D" w14:textId="77777777" w:rsidR="00A625ED" w:rsidRDefault="00A625ED" w:rsidP="00862AD0">
      <w:pPr>
        <w:pStyle w:val="NoSpacing"/>
        <w:rPr>
          <w:b/>
          <w:bCs/>
        </w:rPr>
      </w:pPr>
    </w:p>
    <w:p w14:paraId="34855869" w14:textId="77777777" w:rsidR="008E0D21" w:rsidRDefault="008E0D21" w:rsidP="00862AD0">
      <w:pPr>
        <w:pStyle w:val="NoSpacing"/>
        <w:rPr>
          <w:b/>
          <w:bCs/>
        </w:rPr>
      </w:pPr>
    </w:p>
    <w:p w14:paraId="06C7ABF8" w14:textId="77777777" w:rsidR="008E0D21" w:rsidRDefault="008E0D21" w:rsidP="00862AD0">
      <w:pPr>
        <w:pStyle w:val="NoSpacing"/>
        <w:rPr>
          <w:b/>
          <w:bCs/>
        </w:rPr>
      </w:pPr>
    </w:p>
    <w:p w14:paraId="09D505F5" w14:textId="77777777" w:rsidR="004073F6" w:rsidRDefault="004073F6" w:rsidP="00862AD0">
      <w:pPr>
        <w:pStyle w:val="NoSpacing"/>
        <w:rPr>
          <w:b/>
          <w:bCs/>
        </w:rPr>
      </w:pPr>
    </w:p>
    <w:p w14:paraId="1151D844" w14:textId="77777777" w:rsidR="001325BE" w:rsidRDefault="001325BE" w:rsidP="00862AD0">
      <w:pPr>
        <w:pStyle w:val="NoSpacing"/>
        <w:rPr>
          <w:b/>
          <w:bCs/>
        </w:rPr>
      </w:pPr>
    </w:p>
    <w:p w14:paraId="048732F1" w14:textId="77777777" w:rsidR="001325BE" w:rsidRDefault="001325BE" w:rsidP="00862AD0">
      <w:pPr>
        <w:pStyle w:val="NoSpacing"/>
        <w:rPr>
          <w:b/>
          <w:bCs/>
        </w:rPr>
      </w:pPr>
    </w:p>
    <w:p w14:paraId="655EDE8B" w14:textId="77777777" w:rsidR="001325BE" w:rsidRDefault="001325BE" w:rsidP="00862AD0">
      <w:pPr>
        <w:pStyle w:val="NoSpacing"/>
        <w:rPr>
          <w:b/>
          <w:bCs/>
        </w:rPr>
      </w:pPr>
    </w:p>
    <w:p w14:paraId="1675C2CB" w14:textId="7A9D7CBF" w:rsidR="00A625ED" w:rsidRDefault="00591F3F" w:rsidP="00862AD0">
      <w:pPr>
        <w:pStyle w:val="NoSpacing"/>
        <w:rPr>
          <w:b/>
          <w:bCs/>
        </w:rPr>
      </w:pPr>
      <w:r>
        <w:rPr>
          <w:b/>
          <w:bCs/>
        </w:rPr>
        <w:lastRenderedPageBreak/>
        <w:t>2</w:t>
      </w:r>
      <w:r w:rsidR="00A625ED">
        <w:rPr>
          <w:b/>
          <w:bCs/>
        </w:rPr>
        <w:t xml:space="preserve">.0 </w:t>
      </w:r>
      <w:r w:rsidR="0018258F">
        <w:rPr>
          <w:b/>
          <w:bCs/>
        </w:rPr>
        <w:t>–</w:t>
      </w:r>
      <w:r w:rsidR="00A625ED">
        <w:rPr>
          <w:b/>
          <w:bCs/>
        </w:rPr>
        <w:t xml:space="preserve"> </w:t>
      </w:r>
      <w:r w:rsidR="0018258F">
        <w:rPr>
          <w:b/>
          <w:bCs/>
        </w:rPr>
        <w:t>Due Diligence</w:t>
      </w:r>
      <w:r w:rsidR="00A625ED">
        <w:rPr>
          <w:b/>
          <w:bCs/>
        </w:rPr>
        <w:t>, Projections and Bidding Process on New Portfolio Forward Flow Opportunities</w:t>
      </w:r>
    </w:p>
    <w:p w14:paraId="0B597C5F" w14:textId="1371BB68" w:rsidR="00A625ED" w:rsidRPr="00591F3F" w:rsidRDefault="00A625ED" w:rsidP="00862AD0">
      <w:pPr>
        <w:pStyle w:val="NoSpacing"/>
        <w:rPr>
          <w:color w:val="000000" w:themeColor="text1"/>
          <w:sz w:val="22"/>
          <w:szCs w:val="22"/>
        </w:rPr>
      </w:pPr>
      <w:r w:rsidRPr="00591F3F">
        <w:rPr>
          <w:color w:val="000000" w:themeColor="text1"/>
          <w:sz w:val="22"/>
          <w:szCs w:val="22"/>
        </w:rPr>
        <w:t xml:space="preserve">NAA was invited to bid on </w:t>
      </w:r>
      <w:r w:rsidR="007B1939" w:rsidRPr="00591F3F">
        <w:rPr>
          <w:color w:val="000000" w:themeColor="text1"/>
          <w:sz w:val="22"/>
          <w:szCs w:val="22"/>
        </w:rPr>
        <w:t>three</w:t>
      </w:r>
      <w:r w:rsidRPr="00591F3F">
        <w:rPr>
          <w:color w:val="000000" w:themeColor="text1"/>
          <w:sz w:val="22"/>
          <w:szCs w:val="22"/>
        </w:rPr>
        <w:t xml:space="preserve"> 12-month forward flow opportunities with </w:t>
      </w:r>
      <w:r w:rsidR="00CB7CD1">
        <w:rPr>
          <w:color w:val="000000" w:themeColor="text1"/>
          <w:sz w:val="22"/>
          <w:szCs w:val="22"/>
        </w:rPr>
        <w:t>a NASDAQ-listed Fintech lender</w:t>
      </w:r>
      <w:r w:rsidRPr="00591F3F">
        <w:rPr>
          <w:color w:val="000000" w:themeColor="text1"/>
          <w:sz w:val="22"/>
          <w:szCs w:val="22"/>
        </w:rPr>
        <w:t xml:space="preserve"> in Q4 of 2024.  </w:t>
      </w:r>
      <w:r w:rsidR="007B1939" w:rsidRPr="00591F3F">
        <w:rPr>
          <w:color w:val="000000" w:themeColor="text1"/>
          <w:sz w:val="22"/>
          <w:szCs w:val="22"/>
        </w:rPr>
        <w:t xml:space="preserve"> Specifically, those were </w:t>
      </w:r>
      <w:r w:rsidR="00E2469F">
        <w:rPr>
          <w:color w:val="000000" w:themeColor="text1"/>
          <w:sz w:val="22"/>
          <w:szCs w:val="22"/>
        </w:rPr>
        <w:t xml:space="preserve"> Fintech 1</w:t>
      </w:r>
      <w:r w:rsidR="007B1939" w:rsidRPr="00591F3F">
        <w:rPr>
          <w:color w:val="000000" w:themeColor="text1"/>
          <w:sz w:val="22"/>
          <w:szCs w:val="22"/>
        </w:rPr>
        <w:t xml:space="preserve">, </w:t>
      </w:r>
      <w:r w:rsidR="00E2469F">
        <w:rPr>
          <w:color w:val="000000" w:themeColor="text1"/>
          <w:sz w:val="22"/>
          <w:szCs w:val="22"/>
        </w:rPr>
        <w:t>Fintech 2</w:t>
      </w:r>
      <w:r w:rsidR="007B1939" w:rsidRPr="00591F3F">
        <w:rPr>
          <w:color w:val="000000" w:themeColor="text1"/>
          <w:sz w:val="22"/>
          <w:szCs w:val="22"/>
        </w:rPr>
        <w:t xml:space="preserve"> and </w:t>
      </w:r>
      <w:r w:rsidR="00E2469F">
        <w:rPr>
          <w:color w:val="000000" w:themeColor="text1"/>
          <w:sz w:val="22"/>
          <w:szCs w:val="22"/>
        </w:rPr>
        <w:t>Fintech 3</w:t>
      </w:r>
    </w:p>
    <w:p w14:paraId="46BC2EA7" w14:textId="77777777" w:rsidR="00E8271A" w:rsidRDefault="00E8271A" w:rsidP="00862AD0">
      <w:pPr>
        <w:pStyle w:val="NoSpacing"/>
      </w:pPr>
    </w:p>
    <w:p w14:paraId="6311F14A" w14:textId="15D5D2F1" w:rsidR="00E8271A" w:rsidRPr="00A625ED" w:rsidRDefault="00C9743A" w:rsidP="008E0D21">
      <w:pPr>
        <w:pStyle w:val="NoSpacing"/>
        <w:jc w:val="center"/>
      </w:pPr>
      <w:r w:rsidRPr="00C9743A">
        <w:drawing>
          <wp:inline distT="0" distB="0" distL="0" distR="0" wp14:anchorId="470A1E19" wp14:editId="001B9E2F">
            <wp:extent cx="6848475" cy="1287748"/>
            <wp:effectExtent l="0" t="0" r="0" b="8255"/>
            <wp:docPr id="387629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29528" name=""/>
                    <pic:cNvPicPr/>
                  </pic:nvPicPr>
                  <pic:blipFill>
                    <a:blip r:embed="rId9"/>
                    <a:stretch>
                      <a:fillRect/>
                    </a:stretch>
                  </pic:blipFill>
                  <pic:spPr>
                    <a:xfrm>
                      <a:off x="0" y="0"/>
                      <a:ext cx="6869412" cy="1291685"/>
                    </a:xfrm>
                    <a:prstGeom prst="rect">
                      <a:avLst/>
                    </a:prstGeom>
                  </pic:spPr>
                </pic:pic>
              </a:graphicData>
            </a:graphic>
          </wp:inline>
        </w:drawing>
      </w:r>
    </w:p>
    <w:p w14:paraId="723B1F75" w14:textId="77777777" w:rsidR="00A625ED" w:rsidRDefault="00A625ED" w:rsidP="00862AD0">
      <w:pPr>
        <w:pStyle w:val="NoSpacing"/>
        <w:rPr>
          <w:b/>
          <w:bCs/>
        </w:rPr>
      </w:pPr>
    </w:p>
    <w:p w14:paraId="465C6987" w14:textId="2DE7057B" w:rsidR="004E2DDB" w:rsidRPr="00D270DF" w:rsidRDefault="00910C06" w:rsidP="004E2DDB">
      <w:pPr>
        <w:pStyle w:val="NoSpacing"/>
        <w:rPr>
          <w:sz w:val="22"/>
          <w:szCs w:val="22"/>
        </w:rPr>
      </w:pPr>
      <w:r w:rsidRPr="00D270DF">
        <w:rPr>
          <w:sz w:val="22"/>
          <w:szCs w:val="22"/>
        </w:rPr>
        <w:t xml:space="preserve">NAA </w:t>
      </w:r>
      <w:r w:rsidR="004E2DDB" w:rsidRPr="00D270DF">
        <w:rPr>
          <w:sz w:val="22"/>
          <w:szCs w:val="22"/>
        </w:rPr>
        <w:t xml:space="preserve">was awarded the contracts on </w:t>
      </w:r>
      <w:r w:rsidR="00CB7CD1">
        <w:rPr>
          <w:sz w:val="22"/>
          <w:szCs w:val="22"/>
        </w:rPr>
        <w:t>Fintech 1</w:t>
      </w:r>
      <w:r w:rsidR="004E2DDB" w:rsidRPr="00D270DF">
        <w:rPr>
          <w:sz w:val="22"/>
          <w:szCs w:val="22"/>
        </w:rPr>
        <w:t xml:space="preserve"> and on </w:t>
      </w:r>
      <w:r w:rsidR="00CB7CD1">
        <w:rPr>
          <w:sz w:val="22"/>
          <w:szCs w:val="22"/>
        </w:rPr>
        <w:t>Fintech 2:</w:t>
      </w:r>
      <w:r w:rsidR="004E2DDB" w:rsidRPr="00D270DF">
        <w:rPr>
          <w:sz w:val="22"/>
          <w:szCs w:val="22"/>
        </w:rPr>
        <w:t xml:space="preserve"> </w:t>
      </w:r>
    </w:p>
    <w:p w14:paraId="69789DAD" w14:textId="1C995638" w:rsidR="004E2DDB" w:rsidRPr="00D270DF" w:rsidRDefault="00FB7CF7" w:rsidP="004E2DDB">
      <w:pPr>
        <w:pStyle w:val="NoSpacing"/>
        <w:numPr>
          <w:ilvl w:val="0"/>
          <w:numId w:val="11"/>
        </w:numPr>
        <w:rPr>
          <w:sz w:val="22"/>
          <w:szCs w:val="22"/>
        </w:rPr>
      </w:pPr>
      <w:r>
        <w:rPr>
          <w:sz w:val="22"/>
          <w:szCs w:val="22"/>
        </w:rPr>
        <w:t>Fintech 1</w:t>
      </w:r>
    </w:p>
    <w:p w14:paraId="3AD868B2" w14:textId="2D0C5094" w:rsidR="00045935" w:rsidRPr="00D270DF" w:rsidRDefault="00045935" w:rsidP="00380FF6">
      <w:pPr>
        <w:pStyle w:val="NoSpacing"/>
        <w:numPr>
          <w:ilvl w:val="1"/>
          <w:numId w:val="11"/>
        </w:numPr>
        <w:rPr>
          <w:sz w:val="22"/>
          <w:szCs w:val="22"/>
        </w:rPr>
      </w:pPr>
      <w:r w:rsidRPr="00D270DF">
        <w:rPr>
          <w:sz w:val="22"/>
          <w:szCs w:val="22"/>
        </w:rPr>
        <w:t>8.5% pricing</w:t>
      </w:r>
    </w:p>
    <w:p w14:paraId="126778D1" w14:textId="1096C094" w:rsidR="00380FF6" w:rsidRPr="00D270DF" w:rsidRDefault="00380FF6" w:rsidP="00380FF6">
      <w:pPr>
        <w:pStyle w:val="NoSpacing"/>
        <w:numPr>
          <w:ilvl w:val="1"/>
          <w:numId w:val="11"/>
        </w:numPr>
        <w:rPr>
          <w:sz w:val="22"/>
          <w:szCs w:val="22"/>
        </w:rPr>
      </w:pPr>
      <w:r w:rsidRPr="00D270DF">
        <w:rPr>
          <w:sz w:val="22"/>
          <w:szCs w:val="22"/>
        </w:rPr>
        <w:t>Volume estimated $250,000-$500,000 face value monthly</w:t>
      </w:r>
    </w:p>
    <w:p w14:paraId="386C805E" w14:textId="63155175" w:rsidR="00380FF6" w:rsidRPr="00D270DF" w:rsidRDefault="00FB7CF7" w:rsidP="00380FF6">
      <w:pPr>
        <w:pStyle w:val="NoSpacing"/>
        <w:numPr>
          <w:ilvl w:val="0"/>
          <w:numId w:val="11"/>
        </w:numPr>
        <w:rPr>
          <w:sz w:val="22"/>
          <w:szCs w:val="22"/>
        </w:rPr>
      </w:pPr>
      <w:r>
        <w:rPr>
          <w:sz w:val="22"/>
          <w:szCs w:val="22"/>
        </w:rPr>
        <w:t>Fintech 2</w:t>
      </w:r>
    </w:p>
    <w:p w14:paraId="60ABC654" w14:textId="0BAF3795" w:rsidR="00045935" w:rsidRPr="00D270DF" w:rsidRDefault="00045935" w:rsidP="00380FF6">
      <w:pPr>
        <w:pStyle w:val="NoSpacing"/>
        <w:numPr>
          <w:ilvl w:val="1"/>
          <w:numId w:val="11"/>
        </w:numPr>
        <w:rPr>
          <w:sz w:val="22"/>
          <w:szCs w:val="22"/>
        </w:rPr>
      </w:pPr>
      <w:r w:rsidRPr="00D270DF">
        <w:rPr>
          <w:sz w:val="22"/>
          <w:szCs w:val="22"/>
        </w:rPr>
        <w:t>6.5% pricing</w:t>
      </w:r>
    </w:p>
    <w:p w14:paraId="1F962656" w14:textId="041F345C" w:rsidR="00380FF6" w:rsidRPr="00D270DF" w:rsidRDefault="00045935" w:rsidP="00380FF6">
      <w:pPr>
        <w:pStyle w:val="NoSpacing"/>
        <w:numPr>
          <w:ilvl w:val="1"/>
          <w:numId w:val="11"/>
        </w:numPr>
        <w:rPr>
          <w:sz w:val="22"/>
          <w:szCs w:val="22"/>
        </w:rPr>
      </w:pPr>
      <w:r w:rsidRPr="00D270DF">
        <w:rPr>
          <w:sz w:val="22"/>
          <w:szCs w:val="22"/>
        </w:rPr>
        <w:t xml:space="preserve">Volume up to $5million monthly </w:t>
      </w:r>
    </w:p>
    <w:p w14:paraId="5C4FC7F8" w14:textId="77777777" w:rsidR="00045935" w:rsidRPr="00D270DF" w:rsidRDefault="00045935" w:rsidP="00045935">
      <w:pPr>
        <w:pStyle w:val="NoSpacing"/>
        <w:rPr>
          <w:sz w:val="22"/>
          <w:szCs w:val="22"/>
        </w:rPr>
      </w:pPr>
    </w:p>
    <w:p w14:paraId="419E4108" w14:textId="2F7B2AD8" w:rsidR="00045935" w:rsidRPr="00D270DF" w:rsidRDefault="00045935" w:rsidP="00045935">
      <w:pPr>
        <w:pStyle w:val="NoSpacing"/>
        <w:rPr>
          <w:sz w:val="22"/>
          <w:szCs w:val="22"/>
        </w:rPr>
      </w:pPr>
      <w:r w:rsidRPr="00D270DF">
        <w:rPr>
          <w:sz w:val="22"/>
          <w:szCs w:val="22"/>
        </w:rPr>
        <w:t xml:space="preserve">The initial purchases at the end of December are shown below.  </w:t>
      </w:r>
      <w:r w:rsidR="00FB7CF7">
        <w:rPr>
          <w:sz w:val="22"/>
          <w:szCs w:val="22"/>
        </w:rPr>
        <w:t>Fintech 1</w:t>
      </w:r>
      <w:r w:rsidRPr="00D270DF">
        <w:rPr>
          <w:sz w:val="22"/>
          <w:szCs w:val="22"/>
        </w:rPr>
        <w:t xml:space="preserve"> included a warehouse file of older (“aged”) accounts that were purchased at 7% price point:</w:t>
      </w:r>
    </w:p>
    <w:p w14:paraId="4C5F8AF5" w14:textId="77777777" w:rsidR="00045935" w:rsidRDefault="00045935" w:rsidP="00045935">
      <w:pPr>
        <w:pStyle w:val="NoSpacing"/>
      </w:pPr>
    </w:p>
    <w:p w14:paraId="360AC885" w14:textId="3A5C302C" w:rsidR="003A4EB7" w:rsidRDefault="00CB7CD1" w:rsidP="008E0D21">
      <w:pPr>
        <w:pStyle w:val="NoSpacing"/>
        <w:jc w:val="center"/>
      </w:pPr>
      <w:r w:rsidRPr="00CB7CD1">
        <w:drawing>
          <wp:inline distT="0" distB="0" distL="0" distR="0" wp14:anchorId="7DB0D2AF" wp14:editId="0DC04FFB">
            <wp:extent cx="7153275" cy="936108"/>
            <wp:effectExtent l="0" t="0" r="0" b="0"/>
            <wp:docPr id="1205974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74671" name=""/>
                    <pic:cNvPicPr/>
                  </pic:nvPicPr>
                  <pic:blipFill>
                    <a:blip r:embed="rId10"/>
                    <a:stretch>
                      <a:fillRect/>
                    </a:stretch>
                  </pic:blipFill>
                  <pic:spPr>
                    <a:xfrm>
                      <a:off x="0" y="0"/>
                      <a:ext cx="7256838" cy="949661"/>
                    </a:xfrm>
                    <a:prstGeom prst="rect">
                      <a:avLst/>
                    </a:prstGeom>
                  </pic:spPr>
                </pic:pic>
              </a:graphicData>
            </a:graphic>
          </wp:inline>
        </w:drawing>
      </w:r>
    </w:p>
    <w:p w14:paraId="0A28BD71" w14:textId="77777777" w:rsidR="001849F1" w:rsidRDefault="001849F1" w:rsidP="00862AD0">
      <w:pPr>
        <w:pStyle w:val="NoSpacing"/>
        <w:rPr>
          <w:b/>
          <w:bCs/>
        </w:rPr>
      </w:pPr>
    </w:p>
    <w:p w14:paraId="16488918" w14:textId="1C1FBA95" w:rsidR="00F20808" w:rsidRDefault="00E2469F" w:rsidP="00862AD0">
      <w:pPr>
        <w:pStyle w:val="NoSpacing"/>
        <w:rPr>
          <w:sz w:val="22"/>
          <w:szCs w:val="22"/>
        </w:rPr>
      </w:pPr>
      <w:r>
        <w:rPr>
          <w:sz w:val="22"/>
          <w:szCs w:val="22"/>
        </w:rPr>
        <w:t>The issuer</w:t>
      </w:r>
      <w:r w:rsidR="00C368E4">
        <w:rPr>
          <w:sz w:val="22"/>
          <w:szCs w:val="22"/>
        </w:rPr>
        <w:t xml:space="preserve"> decided to hold off on selling the </w:t>
      </w:r>
      <w:r>
        <w:rPr>
          <w:sz w:val="22"/>
          <w:szCs w:val="22"/>
        </w:rPr>
        <w:t>Fintech 3</w:t>
      </w:r>
      <w:r w:rsidR="00C368E4">
        <w:rPr>
          <w:sz w:val="22"/>
          <w:szCs w:val="22"/>
        </w:rPr>
        <w:t xml:space="preserve"> portfolios </w:t>
      </w:r>
      <w:r w:rsidR="001335A1">
        <w:rPr>
          <w:sz w:val="22"/>
          <w:szCs w:val="22"/>
        </w:rPr>
        <w:t xml:space="preserve">in January 2024 and </w:t>
      </w:r>
      <w:r w:rsidR="00835626">
        <w:rPr>
          <w:sz w:val="22"/>
          <w:szCs w:val="22"/>
        </w:rPr>
        <w:t xml:space="preserve">NAA was notified that it was available in August 2024.  </w:t>
      </w:r>
    </w:p>
    <w:p w14:paraId="66C1D790" w14:textId="13744546" w:rsidR="00165419" w:rsidRDefault="00E2469F" w:rsidP="00165419">
      <w:pPr>
        <w:pStyle w:val="NoSpacing"/>
        <w:numPr>
          <w:ilvl w:val="0"/>
          <w:numId w:val="11"/>
        </w:numPr>
        <w:rPr>
          <w:sz w:val="22"/>
          <w:szCs w:val="22"/>
        </w:rPr>
      </w:pPr>
      <w:r>
        <w:rPr>
          <w:sz w:val="22"/>
          <w:szCs w:val="22"/>
        </w:rPr>
        <w:t>Fintech 3</w:t>
      </w:r>
    </w:p>
    <w:p w14:paraId="21F730CE" w14:textId="0E0C0F67" w:rsidR="00165419" w:rsidRDefault="00165419" w:rsidP="00165419">
      <w:pPr>
        <w:pStyle w:val="NoSpacing"/>
        <w:numPr>
          <w:ilvl w:val="1"/>
          <w:numId w:val="11"/>
        </w:numPr>
        <w:rPr>
          <w:sz w:val="22"/>
          <w:szCs w:val="22"/>
        </w:rPr>
      </w:pPr>
      <w:r>
        <w:rPr>
          <w:sz w:val="22"/>
          <w:szCs w:val="22"/>
        </w:rPr>
        <w:t>7.5% pricing</w:t>
      </w:r>
    </w:p>
    <w:p w14:paraId="0C40CEFD" w14:textId="7CFC23E9" w:rsidR="00835626" w:rsidRPr="008E0D21" w:rsidRDefault="00165419" w:rsidP="00862AD0">
      <w:pPr>
        <w:pStyle w:val="NoSpacing"/>
        <w:numPr>
          <w:ilvl w:val="1"/>
          <w:numId w:val="11"/>
        </w:numPr>
        <w:rPr>
          <w:sz w:val="22"/>
          <w:szCs w:val="22"/>
        </w:rPr>
      </w:pPr>
      <w:r>
        <w:rPr>
          <w:sz w:val="22"/>
          <w:szCs w:val="22"/>
        </w:rPr>
        <w:t xml:space="preserve">Volume at approximately </w:t>
      </w:r>
      <w:r w:rsidR="00F24C8E">
        <w:rPr>
          <w:sz w:val="22"/>
          <w:szCs w:val="22"/>
        </w:rPr>
        <w:t>$3million per month</w:t>
      </w:r>
    </w:p>
    <w:p w14:paraId="4BA188EA" w14:textId="51600ACE" w:rsidR="000E3377" w:rsidRDefault="000E3377" w:rsidP="00862AD0">
      <w:pPr>
        <w:pStyle w:val="NoSpacing"/>
        <w:rPr>
          <w:sz w:val="22"/>
          <w:szCs w:val="22"/>
        </w:rPr>
      </w:pPr>
      <w:r>
        <w:rPr>
          <w:sz w:val="22"/>
          <w:szCs w:val="22"/>
        </w:rPr>
        <w:lastRenderedPageBreak/>
        <w:t xml:space="preserve">NAA was awarded the contract for the </w:t>
      </w:r>
      <w:r w:rsidR="00E2469F">
        <w:rPr>
          <w:sz w:val="22"/>
          <w:szCs w:val="22"/>
        </w:rPr>
        <w:t>Fintech 3</w:t>
      </w:r>
      <w:r>
        <w:rPr>
          <w:sz w:val="22"/>
          <w:szCs w:val="22"/>
        </w:rPr>
        <w:t xml:space="preserve"> 12-month forward flow in September 2024.  The initial purchases at the end of September are shown below.   </w:t>
      </w:r>
      <w:r w:rsidR="00E2469F">
        <w:rPr>
          <w:sz w:val="22"/>
          <w:szCs w:val="22"/>
        </w:rPr>
        <w:t>Fintech 3</w:t>
      </w:r>
      <w:r>
        <w:rPr>
          <w:sz w:val="22"/>
          <w:szCs w:val="22"/>
        </w:rPr>
        <w:t xml:space="preserve"> included a warehouse file of older (“aged”) accounts that were purchased </w:t>
      </w:r>
      <w:r w:rsidR="00720CC1">
        <w:rPr>
          <w:sz w:val="22"/>
          <w:szCs w:val="22"/>
        </w:rPr>
        <w:t xml:space="preserve">at 7% price point: </w:t>
      </w:r>
    </w:p>
    <w:p w14:paraId="25E181FB" w14:textId="77777777" w:rsidR="00F24C8E" w:rsidRDefault="00F24C8E" w:rsidP="00862AD0">
      <w:pPr>
        <w:pStyle w:val="NoSpacing"/>
        <w:rPr>
          <w:sz w:val="22"/>
          <w:szCs w:val="22"/>
        </w:rPr>
      </w:pPr>
    </w:p>
    <w:p w14:paraId="26FB6334" w14:textId="3A85BAA2" w:rsidR="00835626" w:rsidRPr="00C368E4" w:rsidRDefault="00CB7CD1" w:rsidP="00862AD0">
      <w:pPr>
        <w:pStyle w:val="NoSpacing"/>
        <w:rPr>
          <w:sz w:val="22"/>
          <w:szCs w:val="22"/>
        </w:rPr>
      </w:pPr>
      <w:r w:rsidRPr="00CB7CD1">
        <w:rPr>
          <w:sz w:val="22"/>
          <w:szCs w:val="22"/>
        </w:rPr>
        <w:drawing>
          <wp:inline distT="0" distB="0" distL="0" distR="0" wp14:anchorId="3755AA86" wp14:editId="18AFE212">
            <wp:extent cx="8229600" cy="843280"/>
            <wp:effectExtent l="0" t="0" r="0" b="0"/>
            <wp:docPr id="1554362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62782" name=""/>
                    <pic:cNvPicPr/>
                  </pic:nvPicPr>
                  <pic:blipFill>
                    <a:blip r:embed="rId11"/>
                    <a:stretch>
                      <a:fillRect/>
                    </a:stretch>
                  </pic:blipFill>
                  <pic:spPr>
                    <a:xfrm>
                      <a:off x="0" y="0"/>
                      <a:ext cx="8229600" cy="843280"/>
                    </a:xfrm>
                    <a:prstGeom prst="rect">
                      <a:avLst/>
                    </a:prstGeom>
                  </pic:spPr>
                </pic:pic>
              </a:graphicData>
            </a:graphic>
          </wp:inline>
        </w:drawing>
      </w:r>
    </w:p>
    <w:p w14:paraId="1F77504B" w14:textId="77777777" w:rsidR="00F20808" w:rsidRDefault="00F20808" w:rsidP="00862AD0">
      <w:pPr>
        <w:pStyle w:val="NoSpacing"/>
        <w:rPr>
          <w:b/>
          <w:bCs/>
        </w:rPr>
      </w:pPr>
    </w:p>
    <w:p w14:paraId="1E2E1BED" w14:textId="3EA0B31E" w:rsidR="00862AD0" w:rsidRPr="00A45E15" w:rsidRDefault="0018258F" w:rsidP="00862AD0">
      <w:pPr>
        <w:pStyle w:val="NoSpacing"/>
        <w:rPr>
          <w:b/>
          <w:bCs/>
        </w:rPr>
      </w:pPr>
      <w:r>
        <w:rPr>
          <w:b/>
          <w:bCs/>
        </w:rPr>
        <w:t xml:space="preserve">2.1 - </w:t>
      </w:r>
      <w:r w:rsidR="00EB0A3F">
        <w:rPr>
          <w:b/>
          <w:bCs/>
        </w:rPr>
        <w:t>Investment Model</w:t>
      </w:r>
    </w:p>
    <w:p w14:paraId="69F2115C" w14:textId="60857BFF" w:rsidR="00862AD0" w:rsidRPr="00862AD0" w:rsidRDefault="00862AD0" w:rsidP="00862AD0">
      <w:pPr>
        <w:pStyle w:val="NoSpacing"/>
        <w:numPr>
          <w:ilvl w:val="0"/>
          <w:numId w:val="1"/>
        </w:numPr>
        <w:rPr>
          <w:sz w:val="22"/>
          <w:szCs w:val="22"/>
        </w:rPr>
      </w:pPr>
      <w:r w:rsidRPr="00862AD0">
        <w:rPr>
          <w:sz w:val="22"/>
          <w:szCs w:val="22"/>
        </w:rPr>
        <w:t>Investor capital estimated to be returned between Month 12 and Month 15.</w:t>
      </w:r>
    </w:p>
    <w:p w14:paraId="0690F475" w14:textId="77777777" w:rsidR="00862AD0" w:rsidRPr="00862AD0" w:rsidRDefault="00862AD0" w:rsidP="00862AD0">
      <w:pPr>
        <w:pStyle w:val="NoSpacing"/>
        <w:numPr>
          <w:ilvl w:val="1"/>
          <w:numId w:val="1"/>
        </w:numPr>
        <w:rPr>
          <w:sz w:val="22"/>
          <w:szCs w:val="22"/>
        </w:rPr>
      </w:pPr>
      <w:r w:rsidRPr="00862AD0">
        <w:rPr>
          <w:sz w:val="22"/>
          <w:szCs w:val="22"/>
        </w:rPr>
        <w:t>Investor receives net cashflows monthly starting in Month 2.</w:t>
      </w:r>
    </w:p>
    <w:p w14:paraId="65E61909" w14:textId="764EDEDD" w:rsidR="00862AD0" w:rsidRPr="00862AD0" w:rsidRDefault="00862AD0" w:rsidP="00862AD0">
      <w:pPr>
        <w:pStyle w:val="NoSpacing"/>
        <w:numPr>
          <w:ilvl w:val="0"/>
          <w:numId w:val="1"/>
        </w:numPr>
        <w:rPr>
          <w:sz w:val="22"/>
          <w:szCs w:val="22"/>
        </w:rPr>
      </w:pPr>
      <w:r w:rsidRPr="00862AD0">
        <w:rPr>
          <w:sz w:val="22"/>
          <w:szCs w:val="22"/>
        </w:rPr>
        <w:t>Total return estimated at 167% by the end of Month 36.</w:t>
      </w:r>
    </w:p>
    <w:p w14:paraId="08E4EC76" w14:textId="77777777" w:rsidR="00EB0A3F" w:rsidRDefault="00EB0A3F" w:rsidP="004067FC">
      <w:pPr>
        <w:pStyle w:val="NoSpacing"/>
        <w:rPr>
          <w:b/>
          <w:bCs/>
        </w:rPr>
      </w:pPr>
    </w:p>
    <w:p w14:paraId="566A1BE3" w14:textId="66AF7D70" w:rsidR="002333B8" w:rsidRDefault="002333B8" w:rsidP="002333B8">
      <w:pPr>
        <w:pStyle w:val="NoSpacing"/>
        <w:rPr>
          <w:sz w:val="22"/>
          <w:szCs w:val="22"/>
        </w:rPr>
      </w:pPr>
      <w:r>
        <w:rPr>
          <w:sz w:val="22"/>
          <w:szCs w:val="22"/>
        </w:rPr>
        <w:t>NAA’s used its standard 36-month Investment Model to calculate appropriate pricing based on achieving a “3X gross liquidation rate” on the purchase price</w:t>
      </w:r>
      <w:r w:rsidR="00A71DAE">
        <w:rPr>
          <w:sz w:val="22"/>
          <w:szCs w:val="22"/>
        </w:rPr>
        <w:t xml:space="preserve">.  </w:t>
      </w:r>
      <w:r w:rsidR="00B1032B">
        <w:rPr>
          <w:sz w:val="22"/>
          <w:szCs w:val="22"/>
        </w:rPr>
        <w:t>This calculation assumes</w:t>
      </w:r>
    </w:p>
    <w:p w14:paraId="7FE02B0D" w14:textId="2A1BC6E9" w:rsidR="00B1032B" w:rsidRDefault="00B1032B" w:rsidP="00B1032B">
      <w:pPr>
        <w:pStyle w:val="NoSpacing"/>
        <w:numPr>
          <w:ilvl w:val="0"/>
          <w:numId w:val="12"/>
        </w:numPr>
        <w:rPr>
          <w:sz w:val="22"/>
          <w:szCs w:val="22"/>
        </w:rPr>
      </w:pPr>
      <w:r>
        <w:rPr>
          <w:sz w:val="22"/>
          <w:szCs w:val="22"/>
        </w:rPr>
        <w:t>Return of investor capital (1X)</w:t>
      </w:r>
    </w:p>
    <w:p w14:paraId="589789E1" w14:textId="2EC1F8FC" w:rsidR="00B1032B" w:rsidRDefault="000324AB" w:rsidP="00B1032B">
      <w:pPr>
        <w:pStyle w:val="NoSpacing"/>
        <w:numPr>
          <w:ilvl w:val="0"/>
          <w:numId w:val="12"/>
        </w:numPr>
        <w:rPr>
          <w:sz w:val="22"/>
          <w:szCs w:val="22"/>
        </w:rPr>
      </w:pPr>
      <w:r>
        <w:rPr>
          <w:sz w:val="22"/>
          <w:szCs w:val="22"/>
        </w:rPr>
        <w:t>Cost of collections (1.37X – i.e., agency contingency fees, NAA management fees, and NAA performance fees)</w:t>
      </w:r>
    </w:p>
    <w:p w14:paraId="70561DF9" w14:textId="26E064C9" w:rsidR="000324AB" w:rsidRDefault="00B946B9" w:rsidP="00B1032B">
      <w:pPr>
        <w:pStyle w:val="NoSpacing"/>
        <w:numPr>
          <w:ilvl w:val="0"/>
          <w:numId w:val="12"/>
        </w:numPr>
        <w:rPr>
          <w:sz w:val="22"/>
          <w:szCs w:val="22"/>
        </w:rPr>
      </w:pPr>
      <w:r>
        <w:rPr>
          <w:sz w:val="22"/>
          <w:szCs w:val="22"/>
        </w:rPr>
        <w:t>Investor return/profit (0.67X+)</w:t>
      </w:r>
    </w:p>
    <w:p w14:paraId="20585E8E" w14:textId="578D0130" w:rsidR="00AC0755" w:rsidRDefault="00AC0755" w:rsidP="00AC0755">
      <w:pPr>
        <w:pStyle w:val="NoSpacing"/>
        <w:rPr>
          <w:sz w:val="22"/>
          <w:szCs w:val="22"/>
        </w:rPr>
      </w:pPr>
      <w:r>
        <w:rPr>
          <w:sz w:val="22"/>
          <w:szCs w:val="22"/>
        </w:rPr>
        <w:t xml:space="preserve">This calculation is used solely for </w:t>
      </w:r>
      <w:r w:rsidR="0005458F">
        <w:rPr>
          <w:sz w:val="22"/>
          <w:szCs w:val="22"/>
        </w:rPr>
        <w:t xml:space="preserve">calculating projections on contingency collections and excludes potential sales of residual (non-paying) inventory or sale of DSC matches at a premium. </w:t>
      </w:r>
    </w:p>
    <w:p w14:paraId="7B0D7158" w14:textId="48E13718" w:rsidR="00D270DF" w:rsidRDefault="00D270DF" w:rsidP="004067FC">
      <w:pPr>
        <w:pStyle w:val="NoSpacing"/>
        <w:rPr>
          <w:b/>
          <w:bCs/>
        </w:rPr>
      </w:pPr>
    </w:p>
    <w:p w14:paraId="0BABBC79" w14:textId="1F954BB3" w:rsidR="002333B8" w:rsidRDefault="006D3951" w:rsidP="004067FC">
      <w:pPr>
        <w:pStyle w:val="NoSpacing"/>
        <w:rPr>
          <w:b/>
          <w:bCs/>
        </w:rPr>
      </w:pPr>
      <w:r>
        <w:rPr>
          <w:b/>
          <w:bCs/>
        </w:rPr>
        <w:t>2.2 – Due Diligence</w:t>
      </w:r>
      <w:r w:rsidR="00C07E6E">
        <w:rPr>
          <w:b/>
          <w:bCs/>
        </w:rPr>
        <w:t xml:space="preserve"> and Price Determination</w:t>
      </w:r>
    </w:p>
    <w:p w14:paraId="6CA936EF" w14:textId="350DD2E8" w:rsidR="006919CB" w:rsidRDefault="00685789" w:rsidP="004067FC">
      <w:pPr>
        <w:pStyle w:val="NoSpacing"/>
        <w:rPr>
          <w:sz w:val="22"/>
          <w:szCs w:val="22"/>
        </w:rPr>
      </w:pPr>
      <w:r w:rsidRPr="00D270DF">
        <w:rPr>
          <w:sz w:val="22"/>
          <w:szCs w:val="22"/>
        </w:rPr>
        <w:t xml:space="preserve">Propel Holdings provided data files prior to bidding for due diligence.  </w:t>
      </w:r>
      <w:r w:rsidR="003D0D34">
        <w:rPr>
          <w:sz w:val="22"/>
          <w:szCs w:val="22"/>
        </w:rPr>
        <w:t>They also advised the following:</w:t>
      </w:r>
    </w:p>
    <w:p w14:paraId="135D257A" w14:textId="5689FE73" w:rsidR="003D0D34" w:rsidRDefault="00E2469F" w:rsidP="003D0D34">
      <w:pPr>
        <w:pStyle w:val="NoSpacing"/>
        <w:numPr>
          <w:ilvl w:val="0"/>
          <w:numId w:val="1"/>
        </w:numPr>
        <w:rPr>
          <w:sz w:val="22"/>
          <w:szCs w:val="22"/>
        </w:rPr>
      </w:pPr>
      <w:r>
        <w:rPr>
          <w:b/>
          <w:bCs/>
          <w:sz w:val="22"/>
          <w:szCs w:val="22"/>
        </w:rPr>
        <w:t>Fintech 1</w:t>
      </w:r>
      <w:r w:rsidR="003D0D34">
        <w:rPr>
          <w:sz w:val="22"/>
          <w:szCs w:val="22"/>
        </w:rPr>
        <w:t xml:space="preserve"> </w:t>
      </w:r>
      <w:r w:rsidR="00541B9B">
        <w:rPr>
          <w:sz w:val="22"/>
          <w:szCs w:val="22"/>
        </w:rPr>
        <w:t xml:space="preserve">accounts are sold between Day 90 and Day 120 of </w:t>
      </w:r>
      <w:r w:rsidR="00CE5543">
        <w:rPr>
          <w:sz w:val="22"/>
          <w:szCs w:val="22"/>
        </w:rPr>
        <w:t>D</w:t>
      </w:r>
      <w:r w:rsidR="00541B9B">
        <w:rPr>
          <w:sz w:val="22"/>
          <w:szCs w:val="22"/>
        </w:rPr>
        <w:t>elinquency</w:t>
      </w:r>
      <w:r w:rsidR="00442305">
        <w:rPr>
          <w:sz w:val="22"/>
          <w:szCs w:val="22"/>
        </w:rPr>
        <w:t xml:space="preserve">. </w:t>
      </w:r>
      <w:r w:rsidR="00CE5543">
        <w:rPr>
          <w:sz w:val="22"/>
          <w:szCs w:val="22"/>
        </w:rPr>
        <w:t xml:space="preserve">The accounts are charged off and shelved at Day 1 of Delinquency and are not worked internally nor externally at all.  </w:t>
      </w:r>
      <w:r w:rsidR="00214FAC">
        <w:rPr>
          <w:sz w:val="22"/>
          <w:szCs w:val="22"/>
        </w:rPr>
        <w:t>Therefore,</w:t>
      </w:r>
      <w:r w:rsidR="00CE5543">
        <w:rPr>
          <w:sz w:val="22"/>
          <w:szCs w:val="22"/>
        </w:rPr>
        <w:t xml:space="preserve"> upon purchase, NAA agencies are the first contact to the consumer since Day 1 of Delinquency</w:t>
      </w:r>
      <w:r w:rsidR="00637A30">
        <w:rPr>
          <w:sz w:val="22"/>
          <w:szCs w:val="22"/>
        </w:rPr>
        <w:t>.</w:t>
      </w:r>
    </w:p>
    <w:p w14:paraId="1E6DD8A2" w14:textId="3792D229" w:rsidR="00541B9B" w:rsidRDefault="00E2469F" w:rsidP="003D0D34">
      <w:pPr>
        <w:pStyle w:val="NoSpacing"/>
        <w:numPr>
          <w:ilvl w:val="0"/>
          <w:numId w:val="1"/>
        </w:numPr>
        <w:rPr>
          <w:sz w:val="22"/>
          <w:szCs w:val="22"/>
        </w:rPr>
      </w:pPr>
      <w:r>
        <w:rPr>
          <w:b/>
          <w:bCs/>
          <w:sz w:val="22"/>
          <w:szCs w:val="22"/>
        </w:rPr>
        <w:t>Fintech 2</w:t>
      </w:r>
      <w:r w:rsidR="00541B9B">
        <w:rPr>
          <w:sz w:val="22"/>
          <w:szCs w:val="22"/>
        </w:rPr>
        <w:t xml:space="preserve"> accounts</w:t>
      </w:r>
      <w:r w:rsidR="00CE5543">
        <w:rPr>
          <w:sz w:val="22"/>
          <w:szCs w:val="22"/>
        </w:rPr>
        <w:t xml:space="preserve"> are sold </w:t>
      </w:r>
      <w:r w:rsidR="0034270D">
        <w:rPr>
          <w:sz w:val="22"/>
          <w:szCs w:val="22"/>
        </w:rPr>
        <w:t>at Day 90 of Delinquency and charged off on the sale date.  Accounts are worked internally after Day 1 of Delinquency and only one (1) settlement offer is issued during that period.</w:t>
      </w:r>
    </w:p>
    <w:p w14:paraId="6268A257" w14:textId="38E43B36" w:rsidR="0034270D" w:rsidRPr="00637A30" w:rsidRDefault="00E2469F" w:rsidP="00637A30">
      <w:pPr>
        <w:pStyle w:val="NoSpacing"/>
        <w:numPr>
          <w:ilvl w:val="0"/>
          <w:numId w:val="1"/>
        </w:numPr>
        <w:rPr>
          <w:sz w:val="22"/>
          <w:szCs w:val="22"/>
        </w:rPr>
      </w:pPr>
      <w:r>
        <w:rPr>
          <w:b/>
          <w:bCs/>
          <w:sz w:val="22"/>
          <w:szCs w:val="22"/>
        </w:rPr>
        <w:t>Fintech 3</w:t>
      </w:r>
      <w:r w:rsidR="0034270D">
        <w:rPr>
          <w:sz w:val="22"/>
          <w:szCs w:val="22"/>
        </w:rPr>
        <w:t xml:space="preserve"> accounts </w:t>
      </w:r>
      <w:r w:rsidR="00637A30">
        <w:rPr>
          <w:sz w:val="22"/>
          <w:szCs w:val="22"/>
        </w:rPr>
        <w:t xml:space="preserve">are sold between Day 90 and Day 120 of Delinquency. The accounts are charged off and shelved at Day 1 of Delinquency and are not worked internally nor externally at all.  </w:t>
      </w:r>
      <w:r w:rsidR="00214FAC">
        <w:rPr>
          <w:sz w:val="22"/>
          <w:szCs w:val="22"/>
        </w:rPr>
        <w:t>Therefore,</w:t>
      </w:r>
      <w:r w:rsidR="00637A30">
        <w:rPr>
          <w:sz w:val="22"/>
          <w:szCs w:val="22"/>
        </w:rPr>
        <w:t xml:space="preserve"> upon purchase, NAA agencies are the first contact to the consumer since Day 1 of Delinquency.</w:t>
      </w:r>
    </w:p>
    <w:p w14:paraId="42DF6D69" w14:textId="77777777" w:rsidR="006919CB" w:rsidRDefault="006919CB" w:rsidP="004067FC">
      <w:pPr>
        <w:pStyle w:val="NoSpacing"/>
        <w:rPr>
          <w:sz w:val="22"/>
          <w:szCs w:val="22"/>
        </w:rPr>
      </w:pPr>
    </w:p>
    <w:p w14:paraId="7052F26B" w14:textId="77777777" w:rsidR="00E60CBC" w:rsidRDefault="00E60CBC" w:rsidP="004067FC">
      <w:pPr>
        <w:pStyle w:val="NoSpacing"/>
        <w:rPr>
          <w:sz w:val="22"/>
          <w:szCs w:val="22"/>
        </w:rPr>
      </w:pPr>
    </w:p>
    <w:p w14:paraId="150384F6" w14:textId="4C9AF918" w:rsidR="00685789" w:rsidRPr="00D270DF" w:rsidRDefault="00685789" w:rsidP="004067FC">
      <w:pPr>
        <w:pStyle w:val="NoSpacing"/>
        <w:rPr>
          <w:sz w:val="22"/>
          <w:szCs w:val="22"/>
        </w:rPr>
      </w:pPr>
      <w:r w:rsidRPr="00D270DF">
        <w:rPr>
          <w:sz w:val="22"/>
          <w:szCs w:val="22"/>
        </w:rPr>
        <w:lastRenderedPageBreak/>
        <w:t>NAA</w:t>
      </w:r>
      <w:r w:rsidR="007E51D1" w:rsidRPr="00D270DF">
        <w:rPr>
          <w:sz w:val="22"/>
          <w:szCs w:val="22"/>
        </w:rPr>
        <w:t xml:space="preserve"> conducted due diligence as follows:</w:t>
      </w:r>
    </w:p>
    <w:p w14:paraId="7EF4B1D2" w14:textId="1B2161D3" w:rsidR="00883001" w:rsidRDefault="00883001" w:rsidP="007E51D1">
      <w:pPr>
        <w:pStyle w:val="NoSpacing"/>
        <w:numPr>
          <w:ilvl w:val="0"/>
          <w:numId w:val="1"/>
        </w:numPr>
        <w:rPr>
          <w:sz w:val="22"/>
          <w:szCs w:val="22"/>
        </w:rPr>
      </w:pPr>
      <w:r>
        <w:rPr>
          <w:sz w:val="22"/>
          <w:szCs w:val="22"/>
        </w:rPr>
        <w:t xml:space="preserve">Review Seller Surveys </w:t>
      </w:r>
    </w:p>
    <w:p w14:paraId="600CCC71" w14:textId="53D1713A" w:rsidR="00883001" w:rsidRDefault="00883001" w:rsidP="00883001">
      <w:pPr>
        <w:pStyle w:val="NoSpacing"/>
        <w:numPr>
          <w:ilvl w:val="1"/>
          <w:numId w:val="1"/>
        </w:numPr>
        <w:rPr>
          <w:sz w:val="22"/>
          <w:szCs w:val="22"/>
        </w:rPr>
      </w:pPr>
      <w:r>
        <w:rPr>
          <w:sz w:val="22"/>
          <w:szCs w:val="22"/>
        </w:rPr>
        <w:t>Internal collection activity prior to sale</w:t>
      </w:r>
    </w:p>
    <w:p w14:paraId="65BEFBE6" w14:textId="3DE706D9" w:rsidR="00883001" w:rsidRDefault="00883001" w:rsidP="00883001">
      <w:pPr>
        <w:pStyle w:val="NoSpacing"/>
        <w:numPr>
          <w:ilvl w:val="1"/>
          <w:numId w:val="1"/>
        </w:numPr>
        <w:rPr>
          <w:sz w:val="22"/>
          <w:szCs w:val="22"/>
        </w:rPr>
      </w:pPr>
      <w:r>
        <w:rPr>
          <w:sz w:val="22"/>
          <w:szCs w:val="22"/>
        </w:rPr>
        <w:t xml:space="preserve">Settlement %’s </w:t>
      </w:r>
      <w:r w:rsidR="00214FAC">
        <w:rPr>
          <w:sz w:val="22"/>
          <w:szCs w:val="22"/>
        </w:rPr>
        <w:t>offered if</w:t>
      </w:r>
      <w:r>
        <w:rPr>
          <w:sz w:val="22"/>
          <w:szCs w:val="22"/>
        </w:rPr>
        <w:t xml:space="preserve"> any</w:t>
      </w:r>
    </w:p>
    <w:p w14:paraId="180AA68B" w14:textId="30E3B164" w:rsidR="00883001" w:rsidRDefault="00883001" w:rsidP="00883001">
      <w:pPr>
        <w:pStyle w:val="NoSpacing"/>
        <w:numPr>
          <w:ilvl w:val="1"/>
          <w:numId w:val="1"/>
        </w:numPr>
        <w:rPr>
          <w:sz w:val="22"/>
          <w:szCs w:val="22"/>
        </w:rPr>
      </w:pPr>
      <w:r>
        <w:rPr>
          <w:sz w:val="22"/>
          <w:szCs w:val="22"/>
        </w:rPr>
        <w:t>Resale allowed?</w:t>
      </w:r>
    </w:p>
    <w:p w14:paraId="16940C76" w14:textId="00F942E2" w:rsidR="00175A97" w:rsidRPr="006919CB" w:rsidRDefault="00883001" w:rsidP="006919CB">
      <w:pPr>
        <w:pStyle w:val="NoSpacing"/>
        <w:numPr>
          <w:ilvl w:val="1"/>
          <w:numId w:val="1"/>
        </w:numPr>
        <w:rPr>
          <w:sz w:val="22"/>
          <w:szCs w:val="22"/>
        </w:rPr>
      </w:pPr>
      <w:r>
        <w:rPr>
          <w:sz w:val="22"/>
          <w:szCs w:val="22"/>
        </w:rPr>
        <w:t>Legal strategy allowed?</w:t>
      </w:r>
    </w:p>
    <w:p w14:paraId="6BCD0044" w14:textId="27D70557" w:rsidR="002E1666" w:rsidRPr="00D270DF" w:rsidRDefault="002E1666" w:rsidP="007E51D1">
      <w:pPr>
        <w:pStyle w:val="NoSpacing"/>
        <w:numPr>
          <w:ilvl w:val="0"/>
          <w:numId w:val="1"/>
        </w:numPr>
        <w:rPr>
          <w:sz w:val="22"/>
          <w:szCs w:val="22"/>
        </w:rPr>
      </w:pPr>
      <w:r w:rsidRPr="00D270DF">
        <w:rPr>
          <w:sz w:val="22"/>
          <w:szCs w:val="22"/>
        </w:rPr>
        <w:t>Perform a stratification of the provided data files:</w:t>
      </w:r>
    </w:p>
    <w:p w14:paraId="1B311B6E" w14:textId="0400C3AB" w:rsidR="002E1666" w:rsidRPr="00D270DF" w:rsidRDefault="00773706" w:rsidP="002E1666">
      <w:pPr>
        <w:pStyle w:val="NoSpacing"/>
        <w:numPr>
          <w:ilvl w:val="1"/>
          <w:numId w:val="1"/>
        </w:numPr>
        <w:rPr>
          <w:sz w:val="22"/>
          <w:szCs w:val="22"/>
        </w:rPr>
      </w:pPr>
      <w:r w:rsidRPr="00D270DF">
        <w:rPr>
          <w:sz w:val="22"/>
          <w:szCs w:val="22"/>
        </w:rPr>
        <w:t>Demographics</w:t>
      </w:r>
      <w:r w:rsidR="00D5491B" w:rsidRPr="00D270DF">
        <w:rPr>
          <w:sz w:val="22"/>
          <w:szCs w:val="22"/>
        </w:rPr>
        <w:t xml:space="preserve"> </w:t>
      </w:r>
    </w:p>
    <w:p w14:paraId="57264174" w14:textId="1A9F4150" w:rsidR="00D5491B" w:rsidRPr="00D270DF" w:rsidRDefault="00D5491B" w:rsidP="00D5491B">
      <w:pPr>
        <w:pStyle w:val="NoSpacing"/>
        <w:numPr>
          <w:ilvl w:val="2"/>
          <w:numId w:val="1"/>
        </w:numPr>
        <w:rPr>
          <w:sz w:val="22"/>
          <w:szCs w:val="22"/>
        </w:rPr>
      </w:pPr>
      <w:r w:rsidRPr="00D270DF">
        <w:rPr>
          <w:sz w:val="22"/>
          <w:szCs w:val="22"/>
        </w:rPr>
        <w:t>Inventory by state</w:t>
      </w:r>
    </w:p>
    <w:p w14:paraId="037D25E6" w14:textId="68E0549B" w:rsidR="00773706" w:rsidRPr="00D270DF" w:rsidRDefault="00773706" w:rsidP="002E1666">
      <w:pPr>
        <w:pStyle w:val="NoSpacing"/>
        <w:numPr>
          <w:ilvl w:val="1"/>
          <w:numId w:val="1"/>
        </w:numPr>
        <w:rPr>
          <w:sz w:val="22"/>
          <w:szCs w:val="22"/>
        </w:rPr>
      </w:pPr>
      <w:r w:rsidRPr="00D270DF">
        <w:rPr>
          <w:sz w:val="22"/>
          <w:szCs w:val="22"/>
        </w:rPr>
        <w:t xml:space="preserve">FICO scores </w:t>
      </w:r>
    </w:p>
    <w:p w14:paraId="763D051A" w14:textId="49CF2DF0" w:rsidR="002E6618" w:rsidRPr="00D270DF" w:rsidRDefault="002E6618" w:rsidP="002E1666">
      <w:pPr>
        <w:pStyle w:val="NoSpacing"/>
        <w:numPr>
          <w:ilvl w:val="1"/>
          <w:numId w:val="1"/>
        </w:numPr>
        <w:rPr>
          <w:sz w:val="22"/>
          <w:szCs w:val="22"/>
        </w:rPr>
      </w:pPr>
      <w:r w:rsidRPr="00D270DF">
        <w:rPr>
          <w:sz w:val="22"/>
          <w:szCs w:val="22"/>
        </w:rPr>
        <w:t>Payment histories</w:t>
      </w:r>
    </w:p>
    <w:p w14:paraId="6948F11D" w14:textId="2AA8C695" w:rsidR="002E6618" w:rsidRPr="00883001" w:rsidRDefault="002E6618" w:rsidP="00883001">
      <w:pPr>
        <w:pStyle w:val="NoSpacing"/>
        <w:numPr>
          <w:ilvl w:val="1"/>
          <w:numId w:val="1"/>
        </w:numPr>
        <w:rPr>
          <w:sz w:val="22"/>
          <w:szCs w:val="22"/>
        </w:rPr>
      </w:pPr>
      <w:r w:rsidRPr="00D270DF">
        <w:rPr>
          <w:sz w:val="22"/>
          <w:szCs w:val="22"/>
        </w:rPr>
        <w:t>% of “first payment defaults” if any</w:t>
      </w:r>
    </w:p>
    <w:p w14:paraId="329EEF05" w14:textId="07C72C6A" w:rsidR="007E51D1" w:rsidRPr="00D270DF" w:rsidRDefault="00DF29A0" w:rsidP="007E51D1">
      <w:pPr>
        <w:pStyle w:val="NoSpacing"/>
        <w:numPr>
          <w:ilvl w:val="0"/>
          <w:numId w:val="1"/>
        </w:numPr>
        <w:rPr>
          <w:sz w:val="22"/>
          <w:szCs w:val="22"/>
        </w:rPr>
      </w:pPr>
      <w:r w:rsidRPr="00D270DF">
        <w:rPr>
          <w:sz w:val="22"/>
          <w:szCs w:val="22"/>
        </w:rPr>
        <w:t xml:space="preserve">Confirm 100% of supporting media documents will be provided upon purchase </w:t>
      </w:r>
    </w:p>
    <w:p w14:paraId="2FE9FF8A" w14:textId="34F578FD" w:rsidR="00D5491B" w:rsidRPr="00D270DF" w:rsidRDefault="00D5491B" w:rsidP="00D5491B">
      <w:pPr>
        <w:pStyle w:val="NoSpacing"/>
        <w:numPr>
          <w:ilvl w:val="1"/>
          <w:numId w:val="1"/>
        </w:numPr>
        <w:rPr>
          <w:sz w:val="22"/>
          <w:szCs w:val="22"/>
        </w:rPr>
      </w:pPr>
      <w:r w:rsidRPr="00D270DF">
        <w:rPr>
          <w:sz w:val="22"/>
          <w:szCs w:val="22"/>
        </w:rPr>
        <w:t>Original contracts</w:t>
      </w:r>
    </w:p>
    <w:p w14:paraId="5C837F0D" w14:textId="0B25D2C4" w:rsidR="00D5491B" w:rsidRPr="00D270DF" w:rsidRDefault="00D5491B" w:rsidP="00D5491B">
      <w:pPr>
        <w:pStyle w:val="NoSpacing"/>
        <w:numPr>
          <w:ilvl w:val="1"/>
          <w:numId w:val="1"/>
        </w:numPr>
        <w:rPr>
          <w:sz w:val="22"/>
          <w:szCs w:val="22"/>
        </w:rPr>
      </w:pPr>
      <w:r w:rsidRPr="00D270DF">
        <w:rPr>
          <w:sz w:val="22"/>
          <w:szCs w:val="22"/>
        </w:rPr>
        <w:t>Transaction Histories</w:t>
      </w:r>
    </w:p>
    <w:p w14:paraId="533DA528" w14:textId="07A79578" w:rsidR="00956008" w:rsidRPr="00D270DF" w:rsidRDefault="00956008" w:rsidP="00956008">
      <w:pPr>
        <w:pStyle w:val="NoSpacing"/>
        <w:numPr>
          <w:ilvl w:val="0"/>
          <w:numId w:val="1"/>
        </w:numPr>
        <w:rPr>
          <w:sz w:val="22"/>
          <w:szCs w:val="22"/>
        </w:rPr>
      </w:pPr>
      <w:r w:rsidRPr="00D270DF">
        <w:rPr>
          <w:sz w:val="22"/>
          <w:szCs w:val="22"/>
        </w:rPr>
        <w:t>Confirm consent for contact in original contracts:</w:t>
      </w:r>
    </w:p>
    <w:p w14:paraId="6987B6ED" w14:textId="56F2F12E" w:rsidR="00956008" w:rsidRPr="00D270DF" w:rsidRDefault="00956008" w:rsidP="00956008">
      <w:pPr>
        <w:pStyle w:val="NoSpacing"/>
        <w:numPr>
          <w:ilvl w:val="1"/>
          <w:numId w:val="1"/>
        </w:numPr>
        <w:rPr>
          <w:sz w:val="22"/>
          <w:szCs w:val="22"/>
        </w:rPr>
      </w:pPr>
      <w:r w:rsidRPr="00D270DF">
        <w:rPr>
          <w:sz w:val="22"/>
          <w:szCs w:val="22"/>
        </w:rPr>
        <w:t>Consent to call cell phones</w:t>
      </w:r>
    </w:p>
    <w:p w14:paraId="50A3F816" w14:textId="769DD2FD" w:rsidR="00956008" w:rsidRPr="00D270DF" w:rsidRDefault="00956008" w:rsidP="00956008">
      <w:pPr>
        <w:pStyle w:val="NoSpacing"/>
        <w:numPr>
          <w:ilvl w:val="1"/>
          <w:numId w:val="1"/>
        </w:numPr>
        <w:rPr>
          <w:sz w:val="22"/>
          <w:szCs w:val="22"/>
        </w:rPr>
      </w:pPr>
      <w:r w:rsidRPr="00D270DF">
        <w:rPr>
          <w:sz w:val="22"/>
          <w:szCs w:val="22"/>
        </w:rPr>
        <w:t>Consent to text message</w:t>
      </w:r>
    </w:p>
    <w:p w14:paraId="5C6BAEDF" w14:textId="14F4AD72" w:rsidR="00956008" w:rsidRPr="00D270DF" w:rsidRDefault="00956008" w:rsidP="00956008">
      <w:pPr>
        <w:pStyle w:val="NoSpacing"/>
        <w:numPr>
          <w:ilvl w:val="1"/>
          <w:numId w:val="1"/>
        </w:numPr>
        <w:rPr>
          <w:sz w:val="22"/>
          <w:szCs w:val="22"/>
        </w:rPr>
      </w:pPr>
      <w:r w:rsidRPr="00D270DF">
        <w:rPr>
          <w:sz w:val="22"/>
          <w:szCs w:val="22"/>
        </w:rPr>
        <w:t>Consent to send email communications</w:t>
      </w:r>
    </w:p>
    <w:p w14:paraId="0B297DA4" w14:textId="19D00365" w:rsidR="00956008" w:rsidRPr="00D270DF" w:rsidRDefault="00956008" w:rsidP="00956008">
      <w:pPr>
        <w:pStyle w:val="NoSpacing"/>
        <w:numPr>
          <w:ilvl w:val="0"/>
          <w:numId w:val="1"/>
        </w:numPr>
        <w:rPr>
          <w:sz w:val="22"/>
          <w:szCs w:val="22"/>
        </w:rPr>
      </w:pPr>
      <w:r w:rsidRPr="00D270DF">
        <w:rPr>
          <w:sz w:val="22"/>
          <w:szCs w:val="22"/>
        </w:rPr>
        <w:t xml:space="preserve">Confirm </w:t>
      </w:r>
      <w:r w:rsidR="009052DB" w:rsidRPr="00D270DF">
        <w:rPr>
          <w:sz w:val="22"/>
          <w:szCs w:val="22"/>
        </w:rPr>
        <w:t>% of verified current contact information provided</w:t>
      </w:r>
    </w:p>
    <w:p w14:paraId="78466657" w14:textId="5FF45808" w:rsidR="009052DB" w:rsidRPr="00D270DF" w:rsidRDefault="009052DB" w:rsidP="009052DB">
      <w:pPr>
        <w:pStyle w:val="NoSpacing"/>
        <w:numPr>
          <w:ilvl w:val="1"/>
          <w:numId w:val="1"/>
        </w:numPr>
        <w:rPr>
          <w:sz w:val="22"/>
          <w:szCs w:val="22"/>
        </w:rPr>
      </w:pPr>
      <w:r w:rsidRPr="00D270DF">
        <w:rPr>
          <w:sz w:val="22"/>
          <w:szCs w:val="22"/>
        </w:rPr>
        <w:t>Address</w:t>
      </w:r>
    </w:p>
    <w:p w14:paraId="68EB4469" w14:textId="5D98AA56" w:rsidR="009052DB" w:rsidRPr="00D270DF" w:rsidRDefault="009052DB" w:rsidP="009052DB">
      <w:pPr>
        <w:pStyle w:val="NoSpacing"/>
        <w:numPr>
          <w:ilvl w:val="1"/>
          <w:numId w:val="1"/>
        </w:numPr>
        <w:rPr>
          <w:sz w:val="22"/>
          <w:szCs w:val="22"/>
        </w:rPr>
      </w:pPr>
      <w:r w:rsidRPr="00D270DF">
        <w:rPr>
          <w:sz w:val="22"/>
          <w:szCs w:val="22"/>
        </w:rPr>
        <w:t>Cell phone</w:t>
      </w:r>
    </w:p>
    <w:p w14:paraId="51D38C64" w14:textId="54A862F7" w:rsidR="009052DB" w:rsidRPr="00D270DF" w:rsidRDefault="009052DB" w:rsidP="009052DB">
      <w:pPr>
        <w:pStyle w:val="NoSpacing"/>
        <w:numPr>
          <w:ilvl w:val="1"/>
          <w:numId w:val="1"/>
        </w:numPr>
        <w:rPr>
          <w:sz w:val="22"/>
          <w:szCs w:val="22"/>
        </w:rPr>
      </w:pPr>
      <w:r w:rsidRPr="00D270DF">
        <w:rPr>
          <w:sz w:val="22"/>
          <w:szCs w:val="22"/>
        </w:rPr>
        <w:t>Email address</w:t>
      </w:r>
    </w:p>
    <w:p w14:paraId="448B7099" w14:textId="77777777" w:rsidR="000744E7" w:rsidRPr="00D270DF" w:rsidRDefault="000744E7" w:rsidP="000744E7">
      <w:pPr>
        <w:pStyle w:val="NoSpacing"/>
        <w:numPr>
          <w:ilvl w:val="0"/>
          <w:numId w:val="1"/>
        </w:numPr>
        <w:rPr>
          <w:sz w:val="22"/>
          <w:szCs w:val="22"/>
        </w:rPr>
      </w:pPr>
      <w:r w:rsidRPr="00D270DF">
        <w:rPr>
          <w:sz w:val="22"/>
          <w:szCs w:val="22"/>
        </w:rPr>
        <w:t xml:space="preserve">Review historical batch tracks on same or similar products from internal and external sources. </w:t>
      </w:r>
    </w:p>
    <w:p w14:paraId="346B7BC5" w14:textId="09938277" w:rsidR="000744E7" w:rsidRDefault="00CB001A" w:rsidP="000744E7">
      <w:pPr>
        <w:pStyle w:val="NoSpacing"/>
        <w:numPr>
          <w:ilvl w:val="1"/>
          <w:numId w:val="1"/>
        </w:numPr>
        <w:rPr>
          <w:sz w:val="22"/>
          <w:szCs w:val="22"/>
        </w:rPr>
      </w:pPr>
      <w:r w:rsidRPr="00D270DF">
        <w:rPr>
          <w:sz w:val="22"/>
          <w:szCs w:val="22"/>
        </w:rPr>
        <w:t xml:space="preserve">Agencies and debt buyers in NAA’s network of peers were able to produce historical batch tracks on Credit Fresh portfolios. </w:t>
      </w:r>
    </w:p>
    <w:p w14:paraId="5353DE1C" w14:textId="1992D222" w:rsidR="001D596E" w:rsidRDefault="001D596E" w:rsidP="001D596E">
      <w:pPr>
        <w:pStyle w:val="NoSpacing"/>
        <w:numPr>
          <w:ilvl w:val="2"/>
          <w:numId w:val="1"/>
        </w:numPr>
        <w:rPr>
          <w:sz w:val="22"/>
          <w:szCs w:val="22"/>
        </w:rPr>
      </w:pPr>
      <w:r>
        <w:rPr>
          <w:sz w:val="22"/>
          <w:szCs w:val="22"/>
        </w:rPr>
        <w:t xml:space="preserve">NAA has confirmed that </w:t>
      </w:r>
      <w:r w:rsidR="006268B3">
        <w:rPr>
          <w:sz w:val="22"/>
          <w:szCs w:val="22"/>
        </w:rPr>
        <w:t xml:space="preserve">agencies have achieved gross liquidation rates of 19% to 22% on </w:t>
      </w:r>
      <w:r w:rsidR="00E60CBC">
        <w:rPr>
          <w:sz w:val="22"/>
          <w:szCs w:val="22"/>
        </w:rPr>
        <w:t>Fintech 2</w:t>
      </w:r>
      <w:r w:rsidR="006268B3">
        <w:rPr>
          <w:sz w:val="22"/>
          <w:szCs w:val="22"/>
        </w:rPr>
        <w:t xml:space="preserve">. </w:t>
      </w:r>
    </w:p>
    <w:p w14:paraId="053EE400" w14:textId="35B48056" w:rsidR="006268B3" w:rsidRPr="00D270DF" w:rsidRDefault="003B326F" w:rsidP="001D596E">
      <w:pPr>
        <w:pStyle w:val="NoSpacing"/>
        <w:numPr>
          <w:ilvl w:val="2"/>
          <w:numId w:val="1"/>
        </w:numPr>
        <w:rPr>
          <w:sz w:val="22"/>
          <w:szCs w:val="22"/>
        </w:rPr>
      </w:pPr>
      <w:r>
        <w:rPr>
          <w:sz w:val="22"/>
          <w:szCs w:val="22"/>
        </w:rPr>
        <w:t xml:space="preserve">Additionally, another debt buyer who offered to sell NAA an </w:t>
      </w:r>
      <w:r w:rsidR="00E60CBC">
        <w:rPr>
          <w:sz w:val="22"/>
          <w:szCs w:val="22"/>
        </w:rPr>
        <w:t>older Fintech 2</w:t>
      </w:r>
      <w:r>
        <w:rPr>
          <w:sz w:val="22"/>
          <w:szCs w:val="22"/>
        </w:rPr>
        <w:t xml:space="preserve"> file (we </w:t>
      </w:r>
      <w:r w:rsidR="00D620C3">
        <w:rPr>
          <w:sz w:val="22"/>
          <w:szCs w:val="22"/>
        </w:rPr>
        <w:t xml:space="preserve">were able to infer that they are another buyer who purchases freshly charged off </w:t>
      </w:r>
      <w:r w:rsidR="00E60CBC">
        <w:rPr>
          <w:sz w:val="22"/>
          <w:szCs w:val="22"/>
        </w:rPr>
        <w:t>Fintech 2</w:t>
      </w:r>
      <w:r w:rsidR="00D620C3">
        <w:rPr>
          <w:sz w:val="22"/>
          <w:szCs w:val="22"/>
        </w:rPr>
        <w:t xml:space="preserve"> as NAA does), confirmed that according </w:t>
      </w:r>
      <w:r w:rsidR="00E749D5">
        <w:rPr>
          <w:sz w:val="22"/>
          <w:szCs w:val="22"/>
        </w:rPr>
        <w:t>to</w:t>
      </w:r>
      <w:r w:rsidR="00D620C3">
        <w:rPr>
          <w:sz w:val="22"/>
          <w:szCs w:val="22"/>
        </w:rPr>
        <w:t xml:space="preserve"> their historical batch tracks they </w:t>
      </w:r>
      <w:r w:rsidR="004910BD">
        <w:rPr>
          <w:sz w:val="22"/>
          <w:szCs w:val="22"/>
        </w:rPr>
        <w:t xml:space="preserve">achieve gross liquidations of 21% over 3 years. </w:t>
      </w:r>
    </w:p>
    <w:p w14:paraId="248E9A14" w14:textId="325093A1" w:rsidR="00751C00" w:rsidRPr="00D270DF" w:rsidRDefault="00751C00" w:rsidP="000744E7">
      <w:pPr>
        <w:pStyle w:val="NoSpacing"/>
        <w:numPr>
          <w:ilvl w:val="1"/>
          <w:numId w:val="1"/>
        </w:numPr>
        <w:rPr>
          <w:sz w:val="22"/>
          <w:szCs w:val="22"/>
        </w:rPr>
      </w:pPr>
      <w:r w:rsidRPr="00D270DF">
        <w:rPr>
          <w:sz w:val="22"/>
          <w:szCs w:val="22"/>
        </w:rPr>
        <w:t xml:space="preserve">Utilizing the monthly liquidation rates over 36 months enables NAA to determine </w:t>
      </w:r>
      <w:r w:rsidR="008C2B98" w:rsidRPr="00D270DF">
        <w:rPr>
          <w:sz w:val="22"/>
          <w:szCs w:val="22"/>
        </w:rPr>
        <w:t xml:space="preserve">the threshold of pricing where NAA would then attempt to bid (and win) at a lower price point. </w:t>
      </w:r>
    </w:p>
    <w:p w14:paraId="2208B7B4" w14:textId="0F433ED5" w:rsidR="001A6E3F" w:rsidRPr="00D270DF" w:rsidRDefault="00E60CBC" w:rsidP="001A6E3F">
      <w:pPr>
        <w:pStyle w:val="NoSpacing"/>
        <w:numPr>
          <w:ilvl w:val="2"/>
          <w:numId w:val="1"/>
        </w:numPr>
        <w:rPr>
          <w:sz w:val="22"/>
          <w:szCs w:val="22"/>
        </w:rPr>
      </w:pPr>
      <w:r>
        <w:rPr>
          <w:sz w:val="22"/>
          <w:szCs w:val="22"/>
        </w:rPr>
        <w:t>Fintech 1</w:t>
      </w:r>
      <w:r w:rsidR="001A6E3F" w:rsidRPr="00D270DF">
        <w:rPr>
          <w:sz w:val="22"/>
          <w:szCs w:val="22"/>
        </w:rPr>
        <w:t xml:space="preserve"> – at 8.</w:t>
      </w:r>
      <w:r w:rsidR="003749EA" w:rsidRPr="00D270DF">
        <w:rPr>
          <w:sz w:val="22"/>
          <w:szCs w:val="22"/>
        </w:rPr>
        <w:t>93</w:t>
      </w:r>
      <w:r w:rsidR="001A6E3F" w:rsidRPr="00D270DF">
        <w:rPr>
          <w:sz w:val="22"/>
          <w:szCs w:val="22"/>
        </w:rPr>
        <w:t xml:space="preserve">% price point, NAA must achieve </w:t>
      </w:r>
      <w:r w:rsidR="0055504B" w:rsidRPr="00D270DF">
        <w:rPr>
          <w:sz w:val="22"/>
          <w:szCs w:val="22"/>
        </w:rPr>
        <w:t xml:space="preserve">a </w:t>
      </w:r>
      <w:r w:rsidR="003749EA" w:rsidRPr="00D270DF">
        <w:rPr>
          <w:sz w:val="22"/>
          <w:szCs w:val="22"/>
        </w:rPr>
        <w:t>2</w:t>
      </w:r>
      <w:r w:rsidR="0055504B" w:rsidRPr="00D270DF">
        <w:rPr>
          <w:sz w:val="22"/>
          <w:szCs w:val="22"/>
        </w:rPr>
        <w:t>6</w:t>
      </w:r>
      <w:r w:rsidR="003749EA" w:rsidRPr="00D270DF">
        <w:rPr>
          <w:sz w:val="22"/>
          <w:szCs w:val="22"/>
        </w:rPr>
        <w:t>.</w:t>
      </w:r>
      <w:r w:rsidR="0055504B" w:rsidRPr="00D270DF">
        <w:rPr>
          <w:sz w:val="22"/>
          <w:szCs w:val="22"/>
        </w:rPr>
        <w:t>79</w:t>
      </w:r>
      <w:r w:rsidR="003749EA" w:rsidRPr="00D270DF">
        <w:rPr>
          <w:sz w:val="22"/>
          <w:szCs w:val="22"/>
        </w:rPr>
        <w:t>% gross liquidation over 36 months.</w:t>
      </w:r>
    </w:p>
    <w:p w14:paraId="61C1C3B0" w14:textId="38D47E0C" w:rsidR="00AE136D" w:rsidRPr="004910BD" w:rsidRDefault="00E60CBC" w:rsidP="00AD4994">
      <w:pPr>
        <w:pStyle w:val="NoSpacing"/>
        <w:numPr>
          <w:ilvl w:val="2"/>
          <w:numId w:val="1"/>
        </w:numPr>
        <w:rPr>
          <w:sz w:val="22"/>
          <w:szCs w:val="22"/>
        </w:rPr>
      </w:pPr>
      <w:r>
        <w:rPr>
          <w:sz w:val="22"/>
          <w:szCs w:val="22"/>
        </w:rPr>
        <w:t xml:space="preserve">Fintech </w:t>
      </w:r>
      <w:r w:rsidR="00E33810">
        <w:rPr>
          <w:sz w:val="22"/>
          <w:szCs w:val="22"/>
        </w:rPr>
        <w:t>2</w:t>
      </w:r>
      <w:r w:rsidR="003749EA" w:rsidRPr="00D270DF">
        <w:rPr>
          <w:sz w:val="22"/>
          <w:szCs w:val="22"/>
        </w:rPr>
        <w:t xml:space="preserve"> – at </w:t>
      </w:r>
      <w:r w:rsidR="0055504B" w:rsidRPr="00D270DF">
        <w:rPr>
          <w:sz w:val="22"/>
          <w:szCs w:val="22"/>
        </w:rPr>
        <w:t xml:space="preserve">6.83% price point, NAA must achieve a 20.49% gross liquidation rate over 36 months. </w:t>
      </w:r>
    </w:p>
    <w:p w14:paraId="205B0FE1" w14:textId="7EE63D11" w:rsidR="00AE136D" w:rsidRPr="00AE136D" w:rsidRDefault="00AE136D" w:rsidP="00AD4994">
      <w:pPr>
        <w:pStyle w:val="NoSpacing"/>
        <w:rPr>
          <w:b/>
          <w:bCs/>
        </w:rPr>
      </w:pPr>
      <w:r w:rsidRPr="00AE136D">
        <w:rPr>
          <w:b/>
          <w:bCs/>
        </w:rPr>
        <w:lastRenderedPageBreak/>
        <w:t xml:space="preserve">3.0 - Contingency Collection Strategy </w:t>
      </w:r>
    </w:p>
    <w:p w14:paraId="58C1AAD2" w14:textId="0966D690" w:rsidR="000B71BF" w:rsidRDefault="008F4944" w:rsidP="008F4944">
      <w:pPr>
        <w:pStyle w:val="ListParagraph"/>
        <w:numPr>
          <w:ilvl w:val="0"/>
          <w:numId w:val="13"/>
        </w:numPr>
        <w:jc w:val="both"/>
        <w:rPr>
          <w:rFonts w:ascii="Aptos" w:eastAsiaTheme="minorEastAsia" w:hAnsi="Aptos" w:cs="Aptos"/>
          <w:noProof/>
          <w:color w:val="212121"/>
          <w:kern w:val="0"/>
          <w:sz w:val="22"/>
          <w:szCs w:val="22"/>
          <w14:ligatures w14:val="none"/>
        </w:rPr>
      </w:pPr>
      <w:r>
        <w:rPr>
          <w:rFonts w:ascii="Aptos" w:eastAsiaTheme="minorEastAsia" w:hAnsi="Aptos" w:cs="Aptos"/>
          <w:noProof/>
          <w:color w:val="212121"/>
          <w:kern w:val="0"/>
          <w:sz w:val="22"/>
          <w:szCs w:val="22"/>
          <w14:ligatures w14:val="none"/>
        </w:rPr>
        <w:t>NAA onboarding process involves a thorough due diligene and vetting process</w:t>
      </w:r>
      <w:r w:rsidR="00F91071">
        <w:rPr>
          <w:rFonts w:ascii="Aptos" w:eastAsiaTheme="minorEastAsia" w:hAnsi="Aptos" w:cs="Aptos"/>
          <w:noProof/>
          <w:color w:val="212121"/>
          <w:kern w:val="0"/>
          <w:sz w:val="22"/>
          <w:szCs w:val="22"/>
          <w14:ligatures w14:val="none"/>
        </w:rPr>
        <w:t>, validating both compliance and past performance.</w:t>
      </w:r>
    </w:p>
    <w:p w14:paraId="02BFE0C3" w14:textId="1AEE1313" w:rsidR="00F91071" w:rsidRDefault="00C54014" w:rsidP="008F4944">
      <w:pPr>
        <w:pStyle w:val="ListParagraph"/>
        <w:numPr>
          <w:ilvl w:val="0"/>
          <w:numId w:val="13"/>
        </w:numPr>
        <w:jc w:val="both"/>
        <w:rPr>
          <w:rFonts w:ascii="Aptos" w:eastAsiaTheme="minorEastAsia" w:hAnsi="Aptos" w:cs="Aptos"/>
          <w:noProof/>
          <w:color w:val="212121"/>
          <w:kern w:val="0"/>
          <w:sz w:val="22"/>
          <w:szCs w:val="22"/>
          <w14:ligatures w14:val="none"/>
        </w:rPr>
      </w:pPr>
      <w:r>
        <w:rPr>
          <w:rFonts w:ascii="Aptos" w:eastAsiaTheme="minorEastAsia" w:hAnsi="Aptos" w:cs="Aptos"/>
          <w:noProof/>
          <w:color w:val="212121"/>
          <w:kern w:val="0"/>
          <w:sz w:val="22"/>
          <w:szCs w:val="22"/>
          <w14:ligatures w14:val="none"/>
        </w:rPr>
        <w:t xml:space="preserve">Agencies are required to provide weekly reporting of all Key Performance Indicators (“KPIs”) </w:t>
      </w:r>
    </w:p>
    <w:p w14:paraId="63B3E3A3" w14:textId="6812BD05" w:rsidR="00B701A9" w:rsidRDefault="00B701A9" w:rsidP="00C54014">
      <w:pPr>
        <w:pStyle w:val="ListParagraph"/>
        <w:numPr>
          <w:ilvl w:val="1"/>
          <w:numId w:val="13"/>
        </w:numPr>
        <w:jc w:val="both"/>
        <w:rPr>
          <w:rFonts w:ascii="Aptos" w:eastAsiaTheme="minorEastAsia" w:hAnsi="Aptos" w:cs="Aptos"/>
          <w:noProof/>
          <w:color w:val="212121"/>
          <w:kern w:val="0"/>
          <w:sz w:val="22"/>
          <w:szCs w:val="22"/>
          <w14:ligatures w14:val="none"/>
        </w:rPr>
      </w:pPr>
      <w:r>
        <w:rPr>
          <w:rFonts w:ascii="Aptos" w:eastAsiaTheme="minorEastAsia" w:hAnsi="Aptos" w:cs="Aptos"/>
          <w:noProof/>
          <w:color w:val="212121"/>
          <w:kern w:val="0"/>
          <w:sz w:val="22"/>
          <w:szCs w:val="22"/>
          <w14:ligatures w14:val="none"/>
        </w:rPr>
        <w:t xml:space="preserve">Agencies are shown comparative data (KPIs) </w:t>
      </w:r>
      <w:r w:rsidR="00115DA5">
        <w:rPr>
          <w:rFonts w:ascii="Aptos" w:eastAsiaTheme="minorEastAsia" w:hAnsi="Aptos" w:cs="Aptos"/>
          <w:noProof/>
          <w:color w:val="212121"/>
          <w:kern w:val="0"/>
          <w:sz w:val="22"/>
          <w:szCs w:val="22"/>
          <w14:ligatures w14:val="none"/>
        </w:rPr>
        <w:t>of their peers .</w:t>
      </w:r>
    </w:p>
    <w:p w14:paraId="440BA547" w14:textId="0376CD93" w:rsidR="00FD3FAA" w:rsidRDefault="00115DA5" w:rsidP="00FD3FAA">
      <w:pPr>
        <w:pStyle w:val="ListParagraph"/>
        <w:numPr>
          <w:ilvl w:val="1"/>
          <w:numId w:val="13"/>
        </w:numPr>
        <w:jc w:val="both"/>
        <w:rPr>
          <w:rFonts w:ascii="Aptos" w:eastAsiaTheme="minorEastAsia" w:hAnsi="Aptos" w:cs="Aptos"/>
          <w:noProof/>
          <w:color w:val="212121"/>
          <w:kern w:val="0"/>
          <w:sz w:val="22"/>
          <w:szCs w:val="22"/>
          <w14:ligatures w14:val="none"/>
        </w:rPr>
      </w:pPr>
      <w:r>
        <w:rPr>
          <w:rFonts w:ascii="Aptos" w:eastAsiaTheme="minorEastAsia" w:hAnsi="Aptos" w:cs="Aptos"/>
          <w:noProof/>
          <w:color w:val="212121"/>
          <w:kern w:val="0"/>
          <w:sz w:val="22"/>
          <w:szCs w:val="22"/>
          <w14:ligatures w14:val="none"/>
        </w:rPr>
        <w:t xml:space="preserve">NAA meets with agencies weekly to discuss competitive reporting, discuss strategy and ensure that agencies are managing to strategy competitively or adjusting strategy quickly </w:t>
      </w:r>
      <w:r w:rsidR="00CB3A5D">
        <w:rPr>
          <w:rFonts w:ascii="Aptos" w:eastAsiaTheme="minorEastAsia" w:hAnsi="Aptos" w:cs="Aptos"/>
          <w:noProof/>
          <w:color w:val="212121"/>
          <w:kern w:val="0"/>
          <w:sz w:val="22"/>
          <w:szCs w:val="22"/>
          <w14:ligatures w14:val="none"/>
        </w:rPr>
        <w:t xml:space="preserve">where opportunities are identified in the reporting versus other agencies. </w:t>
      </w:r>
    </w:p>
    <w:p w14:paraId="00F0BA6E" w14:textId="69A5DBE0" w:rsidR="00FD3FAA" w:rsidRDefault="00BA50C3" w:rsidP="00BA50C3">
      <w:pPr>
        <w:pStyle w:val="ListParagraph"/>
        <w:numPr>
          <w:ilvl w:val="0"/>
          <w:numId w:val="13"/>
        </w:numPr>
        <w:jc w:val="both"/>
        <w:rPr>
          <w:rFonts w:ascii="Aptos" w:eastAsiaTheme="minorEastAsia" w:hAnsi="Aptos" w:cs="Aptos"/>
          <w:noProof/>
          <w:color w:val="212121"/>
          <w:kern w:val="0"/>
          <w:sz w:val="22"/>
          <w:szCs w:val="22"/>
          <w14:ligatures w14:val="none"/>
        </w:rPr>
      </w:pPr>
      <w:r>
        <w:rPr>
          <w:rFonts w:ascii="Aptos" w:eastAsiaTheme="minorEastAsia" w:hAnsi="Aptos" w:cs="Aptos"/>
          <w:noProof/>
          <w:color w:val="212121"/>
          <w:kern w:val="0"/>
          <w:sz w:val="22"/>
          <w:szCs w:val="22"/>
          <w14:ligatures w14:val="none"/>
        </w:rPr>
        <w:t>Agencies are provided with target liquidation rates for current month collections as well as for buildi</w:t>
      </w:r>
      <w:r w:rsidR="005F1B14">
        <w:rPr>
          <w:rFonts w:ascii="Aptos" w:eastAsiaTheme="minorEastAsia" w:hAnsi="Aptos" w:cs="Aptos"/>
          <w:noProof/>
          <w:color w:val="212121"/>
          <w:kern w:val="0"/>
          <w:sz w:val="22"/>
          <w:szCs w:val="22"/>
          <w14:ligatures w14:val="none"/>
        </w:rPr>
        <w:t>ng</w:t>
      </w:r>
      <w:r>
        <w:rPr>
          <w:rFonts w:ascii="Aptos" w:eastAsiaTheme="minorEastAsia" w:hAnsi="Aptos" w:cs="Aptos"/>
          <w:noProof/>
          <w:color w:val="212121"/>
          <w:kern w:val="0"/>
          <w:sz w:val="22"/>
          <w:szCs w:val="22"/>
          <w14:ligatures w14:val="none"/>
        </w:rPr>
        <w:t xml:space="preserve"> their payer base (i.e., secured postdated checks).  </w:t>
      </w:r>
    </w:p>
    <w:p w14:paraId="3C1DCDE9" w14:textId="673427A6" w:rsidR="00BA50C3" w:rsidRPr="004073F6" w:rsidRDefault="00BA50C3" w:rsidP="00BA50C3">
      <w:pPr>
        <w:pStyle w:val="ListParagraph"/>
        <w:numPr>
          <w:ilvl w:val="1"/>
          <w:numId w:val="13"/>
        </w:numPr>
        <w:jc w:val="both"/>
        <w:rPr>
          <w:rFonts w:ascii="Aptos" w:eastAsiaTheme="minorEastAsia" w:hAnsi="Aptos" w:cs="Aptos"/>
          <w:b/>
          <w:bCs/>
          <w:noProof/>
          <w:color w:val="212121"/>
          <w:kern w:val="0"/>
          <w:sz w:val="22"/>
          <w:szCs w:val="22"/>
          <w14:ligatures w14:val="none"/>
        </w:rPr>
      </w:pPr>
      <w:r w:rsidRPr="004073F6">
        <w:rPr>
          <w:rFonts w:ascii="Aptos" w:eastAsiaTheme="minorEastAsia" w:hAnsi="Aptos" w:cs="Aptos"/>
          <w:b/>
          <w:bCs/>
          <w:noProof/>
          <w:color w:val="212121"/>
          <w:kern w:val="0"/>
          <w:sz w:val="22"/>
          <w:szCs w:val="22"/>
          <w14:ligatures w14:val="none"/>
        </w:rPr>
        <w:t xml:space="preserve">Refer to </w:t>
      </w:r>
      <w:r w:rsidR="00B82F72" w:rsidRPr="004073F6">
        <w:rPr>
          <w:rFonts w:ascii="Aptos" w:eastAsiaTheme="minorEastAsia" w:hAnsi="Aptos" w:cs="Aptos"/>
          <w:b/>
          <w:bCs/>
          <w:noProof/>
          <w:color w:val="212121"/>
          <w:kern w:val="0"/>
          <w:sz w:val="22"/>
          <w:szCs w:val="22"/>
          <w14:ligatures w14:val="none"/>
        </w:rPr>
        <w:t xml:space="preserve">“NAA - Contingency Collections Strategy” </w:t>
      </w:r>
      <w:r w:rsidR="00667379" w:rsidRPr="004073F6">
        <w:rPr>
          <w:rFonts w:ascii="Aptos" w:eastAsiaTheme="minorEastAsia" w:hAnsi="Aptos" w:cs="Aptos"/>
          <w:b/>
          <w:bCs/>
          <w:noProof/>
          <w:color w:val="212121"/>
          <w:kern w:val="0"/>
          <w:sz w:val="22"/>
          <w:szCs w:val="22"/>
          <w14:ligatures w14:val="none"/>
        </w:rPr>
        <w:t>on pages</w:t>
      </w:r>
      <w:r w:rsidR="00C75BFE" w:rsidRPr="004073F6">
        <w:rPr>
          <w:rFonts w:ascii="Aptos" w:eastAsiaTheme="minorEastAsia" w:hAnsi="Aptos" w:cs="Aptos"/>
          <w:b/>
          <w:bCs/>
          <w:noProof/>
          <w:color w:val="212121"/>
          <w:kern w:val="0"/>
          <w:sz w:val="22"/>
          <w:szCs w:val="22"/>
          <w14:ligatures w14:val="none"/>
        </w:rPr>
        <w:t xml:space="preserve"> 8 thru 10</w:t>
      </w:r>
      <w:r w:rsidR="00B82F72" w:rsidRPr="004073F6">
        <w:rPr>
          <w:rFonts w:ascii="Aptos" w:eastAsiaTheme="minorEastAsia" w:hAnsi="Aptos" w:cs="Aptos"/>
          <w:b/>
          <w:bCs/>
          <w:noProof/>
          <w:color w:val="212121"/>
          <w:kern w:val="0"/>
          <w:sz w:val="22"/>
          <w:szCs w:val="22"/>
          <w14:ligatures w14:val="none"/>
        </w:rPr>
        <w:t>.</w:t>
      </w:r>
      <w:r w:rsidR="008418E4" w:rsidRPr="004073F6">
        <w:rPr>
          <w:rFonts w:ascii="Aptos" w:eastAsiaTheme="minorEastAsia" w:hAnsi="Aptos" w:cs="Aptos"/>
          <w:b/>
          <w:bCs/>
          <w:noProof/>
          <w:color w:val="212121"/>
          <w:kern w:val="0"/>
          <w:sz w:val="22"/>
          <w:szCs w:val="22"/>
          <w14:ligatures w14:val="none"/>
        </w:rPr>
        <w:t xml:space="preserve">  </w:t>
      </w:r>
    </w:p>
    <w:p w14:paraId="6F84F33E" w14:textId="11040D35" w:rsidR="00121191" w:rsidRDefault="00D96F21" w:rsidP="00D96F21">
      <w:pPr>
        <w:pStyle w:val="ListParagraph"/>
        <w:numPr>
          <w:ilvl w:val="2"/>
          <w:numId w:val="13"/>
        </w:numPr>
        <w:jc w:val="both"/>
        <w:rPr>
          <w:rFonts w:ascii="Aptos" w:eastAsiaTheme="minorEastAsia" w:hAnsi="Aptos" w:cs="Aptos"/>
          <w:noProof/>
          <w:color w:val="212121"/>
          <w:kern w:val="0"/>
          <w:sz w:val="22"/>
          <w:szCs w:val="22"/>
          <w14:ligatures w14:val="none"/>
        </w:rPr>
      </w:pPr>
      <w:r>
        <w:rPr>
          <w:rFonts w:ascii="Aptos" w:eastAsiaTheme="minorEastAsia" w:hAnsi="Aptos" w:cs="Aptos"/>
          <w:noProof/>
          <w:color w:val="212121"/>
          <w:kern w:val="0"/>
          <w:sz w:val="22"/>
          <w:szCs w:val="22"/>
          <w14:ligatures w14:val="none"/>
        </w:rPr>
        <w:t>Managing the agencies</w:t>
      </w:r>
      <w:r w:rsidR="00121191">
        <w:rPr>
          <w:rFonts w:ascii="Aptos" w:eastAsiaTheme="minorEastAsia" w:hAnsi="Aptos" w:cs="Aptos"/>
          <w:noProof/>
          <w:color w:val="212121"/>
          <w:kern w:val="0"/>
          <w:sz w:val="22"/>
          <w:szCs w:val="22"/>
          <w14:ligatures w14:val="none"/>
        </w:rPr>
        <w:t xml:space="preserve"> to the KPIs as described in this document</w:t>
      </w:r>
      <w:r>
        <w:rPr>
          <w:rFonts w:ascii="Aptos" w:eastAsiaTheme="minorEastAsia" w:hAnsi="Aptos" w:cs="Aptos"/>
          <w:noProof/>
          <w:color w:val="212121"/>
          <w:kern w:val="0"/>
          <w:sz w:val="22"/>
          <w:szCs w:val="22"/>
          <w14:ligatures w14:val="none"/>
        </w:rPr>
        <w:t xml:space="preserve"> and incentivizing them with more inventory</w:t>
      </w:r>
      <w:r w:rsidR="005F1B14">
        <w:rPr>
          <w:rFonts w:ascii="Aptos" w:eastAsiaTheme="minorEastAsia" w:hAnsi="Aptos" w:cs="Aptos"/>
          <w:noProof/>
          <w:color w:val="212121"/>
          <w:kern w:val="0"/>
          <w:sz w:val="22"/>
          <w:szCs w:val="22"/>
          <w14:ligatures w14:val="none"/>
        </w:rPr>
        <w:t xml:space="preserve"> drives performance and ensures</w:t>
      </w:r>
      <w:r w:rsidR="00772851">
        <w:rPr>
          <w:rFonts w:ascii="Aptos" w:eastAsiaTheme="minorEastAsia" w:hAnsi="Aptos" w:cs="Aptos"/>
          <w:noProof/>
          <w:color w:val="212121"/>
          <w:kern w:val="0"/>
          <w:sz w:val="22"/>
          <w:szCs w:val="22"/>
          <w14:ligatures w14:val="none"/>
        </w:rPr>
        <w:t xml:space="preserve"> that targets are reached. </w:t>
      </w:r>
    </w:p>
    <w:p w14:paraId="03592DEA" w14:textId="78FB8F1D" w:rsidR="008E4661" w:rsidRPr="00637A30" w:rsidRDefault="00A36625" w:rsidP="00D31BB1">
      <w:pPr>
        <w:pStyle w:val="ListParagraph"/>
        <w:numPr>
          <w:ilvl w:val="2"/>
          <w:numId w:val="13"/>
        </w:numPr>
        <w:jc w:val="both"/>
        <w:rPr>
          <w:rFonts w:ascii="Aptos" w:eastAsiaTheme="minorEastAsia" w:hAnsi="Aptos" w:cs="Aptos"/>
          <w:noProof/>
          <w:color w:val="212121"/>
          <w:kern w:val="0"/>
          <w:sz w:val="22"/>
          <w:szCs w:val="22"/>
          <w14:ligatures w14:val="none"/>
        </w:rPr>
      </w:pPr>
      <w:r>
        <w:rPr>
          <w:rFonts w:ascii="Aptos" w:eastAsiaTheme="minorEastAsia" w:hAnsi="Aptos" w:cs="Aptos"/>
          <w:noProof/>
          <w:color w:val="212121"/>
          <w:kern w:val="0"/>
          <w:sz w:val="22"/>
          <w:szCs w:val="22"/>
          <w14:ligatures w14:val="none"/>
        </w:rPr>
        <w:t xml:space="preserve">Converting as many Right-Party Contacts (“RPCs”) into payers as possible and </w:t>
      </w:r>
      <w:r w:rsidR="00EF21A3">
        <w:rPr>
          <w:rFonts w:ascii="Aptos" w:eastAsiaTheme="minorEastAsia" w:hAnsi="Aptos" w:cs="Aptos"/>
          <w:noProof/>
          <w:color w:val="212121"/>
          <w:kern w:val="0"/>
          <w:sz w:val="22"/>
          <w:szCs w:val="22"/>
          <w14:ligatures w14:val="none"/>
        </w:rPr>
        <w:t xml:space="preserve">building the payer base (i.e., Secured Postdated Checks) is the key to the strategy. </w:t>
      </w:r>
    </w:p>
    <w:p w14:paraId="19DB18B6" w14:textId="31401B04" w:rsidR="00EF21A3" w:rsidRPr="00D31BB1" w:rsidRDefault="00D31BB1" w:rsidP="00D31BB1">
      <w:pPr>
        <w:pStyle w:val="NoSpacing"/>
        <w:rPr>
          <w:b/>
          <w:bCs/>
        </w:rPr>
      </w:pPr>
      <w:r w:rsidRPr="00D31BB1">
        <w:rPr>
          <w:b/>
          <w:bCs/>
        </w:rPr>
        <w:t xml:space="preserve">4.0 – Insurance Policies </w:t>
      </w:r>
    </w:p>
    <w:p w14:paraId="731290C1" w14:textId="7BABDB7D" w:rsidR="00D31BB1" w:rsidRDefault="00713F2C" w:rsidP="00D31BB1">
      <w:pPr>
        <w:pStyle w:val="NoSpacing"/>
        <w:rPr>
          <w:sz w:val="22"/>
          <w:szCs w:val="22"/>
        </w:rPr>
      </w:pPr>
      <w:r>
        <w:rPr>
          <w:sz w:val="22"/>
          <w:szCs w:val="22"/>
        </w:rPr>
        <w:t>NAA refers to additional “levers” in the strategy outside of the contingency collections as its “insurance policies” because these “levers” are not included in the</w:t>
      </w:r>
      <w:r w:rsidR="008E4661">
        <w:rPr>
          <w:sz w:val="22"/>
          <w:szCs w:val="22"/>
        </w:rPr>
        <w:t xml:space="preserve"> monthly and overall liquidation percentages on the waterfalls. </w:t>
      </w:r>
    </w:p>
    <w:p w14:paraId="0B9AF452" w14:textId="77777777" w:rsidR="008E4661" w:rsidRDefault="008E4661" w:rsidP="00D31BB1">
      <w:pPr>
        <w:pStyle w:val="NoSpacing"/>
        <w:rPr>
          <w:sz w:val="22"/>
          <w:szCs w:val="22"/>
        </w:rPr>
      </w:pPr>
    </w:p>
    <w:p w14:paraId="2C53F106" w14:textId="753860E2" w:rsidR="00167F15" w:rsidRDefault="00167F15" w:rsidP="00D31BB1">
      <w:pPr>
        <w:pStyle w:val="NoSpacing"/>
        <w:rPr>
          <w:b/>
          <w:bCs/>
          <w:sz w:val="22"/>
          <w:szCs w:val="22"/>
        </w:rPr>
      </w:pPr>
      <w:r w:rsidRPr="00167F15">
        <w:rPr>
          <w:b/>
          <w:bCs/>
          <w:sz w:val="22"/>
          <w:szCs w:val="22"/>
        </w:rPr>
        <w:t xml:space="preserve">4.1 – </w:t>
      </w:r>
      <w:r>
        <w:rPr>
          <w:b/>
          <w:bCs/>
          <w:sz w:val="22"/>
          <w:szCs w:val="22"/>
        </w:rPr>
        <w:t>Debt Settlement Company (“DSC”) Accounts</w:t>
      </w:r>
    </w:p>
    <w:p w14:paraId="5ABB4286" w14:textId="6C5863F4" w:rsidR="007A7E2C" w:rsidRDefault="007B3726" w:rsidP="007A7E2C">
      <w:pPr>
        <w:pStyle w:val="NoSpacing"/>
        <w:rPr>
          <w:sz w:val="22"/>
          <w:szCs w:val="22"/>
        </w:rPr>
      </w:pPr>
      <w:r>
        <w:rPr>
          <w:sz w:val="22"/>
          <w:szCs w:val="22"/>
        </w:rPr>
        <w:t xml:space="preserve">Upon purchasing each monthly portfolio, </w:t>
      </w:r>
      <w:r w:rsidR="001D0DAD">
        <w:rPr>
          <w:sz w:val="22"/>
          <w:szCs w:val="22"/>
        </w:rPr>
        <w:t xml:space="preserve">NAA </w:t>
      </w:r>
      <w:r w:rsidR="005E5E12">
        <w:rPr>
          <w:sz w:val="22"/>
          <w:szCs w:val="22"/>
        </w:rPr>
        <w:t xml:space="preserve">has the portfolios scrubbed by multiple peers who specialize in working with </w:t>
      </w:r>
      <w:r w:rsidR="009D0E59">
        <w:rPr>
          <w:sz w:val="22"/>
          <w:szCs w:val="22"/>
        </w:rPr>
        <w:t>DSCs and who have data-sharing agreements with these DSCs, enabling them to determine which consumers are enrolled with one of these companies</w:t>
      </w:r>
      <w:r w:rsidR="007A7E2C">
        <w:rPr>
          <w:sz w:val="22"/>
          <w:szCs w:val="22"/>
        </w:rPr>
        <w:t>.  Initial match rates average as follows:</w:t>
      </w:r>
    </w:p>
    <w:p w14:paraId="066762AA" w14:textId="77777777" w:rsidR="007A7E2C" w:rsidRDefault="007A7E2C" w:rsidP="007A7E2C">
      <w:pPr>
        <w:pStyle w:val="NoSpacing"/>
        <w:rPr>
          <w:sz w:val="22"/>
          <w:szCs w:val="22"/>
        </w:rPr>
      </w:pPr>
    </w:p>
    <w:p w14:paraId="66D91917" w14:textId="40EDAF10" w:rsidR="007A7E2C" w:rsidRDefault="00B47739" w:rsidP="004910BD">
      <w:pPr>
        <w:pStyle w:val="NoSpacing"/>
        <w:jc w:val="center"/>
        <w:rPr>
          <w:sz w:val="22"/>
          <w:szCs w:val="22"/>
        </w:rPr>
      </w:pPr>
      <w:r w:rsidRPr="00B47739">
        <w:rPr>
          <w:sz w:val="22"/>
          <w:szCs w:val="22"/>
        </w:rPr>
        <w:drawing>
          <wp:inline distT="0" distB="0" distL="0" distR="0" wp14:anchorId="7961E202" wp14:editId="3B2867D4">
            <wp:extent cx="2848373" cy="1057423"/>
            <wp:effectExtent l="0" t="0" r="0" b="9525"/>
            <wp:docPr id="4202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7116" name=""/>
                    <pic:cNvPicPr/>
                  </pic:nvPicPr>
                  <pic:blipFill>
                    <a:blip r:embed="rId12"/>
                    <a:stretch>
                      <a:fillRect/>
                    </a:stretch>
                  </pic:blipFill>
                  <pic:spPr>
                    <a:xfrm>
                      <a:off x="0" y="0"/>
                      <a:ext cx="2848373" cy="1057423"/>
                    </a:xfrm>
                    <a:prstGeom prst="rect">
                      <a:avLst/>
                    </a:prstGeom>
                  </pic:spPr>
                </pic:pic>
              </a:graphicData>
            </a:graphic>
          </wp:inline>
        </w:drawing>
      </w:r>
    </w:p>
    <w:p w14:paraId="09BDCF7D" w14:textId="77777777" w:rsidR="004073F6" w:rsidRDefault="004073F6" w:rsidP="007A7E2C">
      <w:pPr>
        <w:pStyle w:val="NoSpacing"/>
        <w:rPr>
          <w:b/>
          <w:bCs/>
        </w:rPr>
      </w:pPr>
    </w:p>
    <w:p w14:paraId="59552CCC" w14:textId="77777777" w:rsidR="004073F6" w:rsidRDefault="004073F6" w:rsidP="007A7E2C">
      <w:pPr>
        <w:pStyle w:val="NoSpacing"/>
        <w:rPr>
          <w:b/>
          <w:bCs/>
        </w:rPr>
      </w:pPr>
    </w:p>
    <w:p w14:paraId="10084997" w14:textId="51CDA58E" w:rsidR="007A7E2C" w:rsidRDefault="00B3244F" w:rsidP="007A7E2C">
      <w:pPr>
        <w:pStyle w:val="NoSpacing"/>
        <w:rPr>
          <w:b/>
          <w:bCs/>
        </w:rPr>
      </w:pPr>
      <w:r w:rsidRPr="00B3244F">
        <w:rPr>
          <w:b/>
          <w:bCs/>
        </w:rPr>
        <w:lastRenderedPageBreak/>
        <w:t>4.1.2 – DSC Strategies</w:t>
      </w:r>
    </w:p>
    <w:p w14:paraId="69B38DF4" w14:textId="647BAF8F" w:rsidR="00637A30" w:rsidRDefault="004910BD" w:rsidP="007A7E2C">
      <w:pPr>
        <w:pStyle w:val="NoSpacing"/>
        <w:rPr>
          <w:sz w:val="22"/>
          <w:szCs w:val="22"/>
        </w:rPr>
      </w:pPr>
      <w:r>
        <w:rPr>
          <w:sz w:val="22"/>
          <w:szCs w:val="22"/>
        </w:rPr>
        <w:t xml:space="preserve">Approximately 70% of consumers enrolled in a Debt Settlement Company program can be expected to complete the program.  </w:t>
      </w:r>
    </w:p>
    <w:p w14:paraId="4722BE4B" w14:textId="10A96812" w:rsidR="00884635" w:rsidRDefault="00884635" w:rsidP="00884635">
      <w:pPr>
        <w:pStyle w:val="NoSpacing"/>
        <w:numPr>
          <w:ilvl w:val="0"/>
          <w:numId w:val="13"/>
        </w:numPr>
        <w:rPr>
          <w:sz w:val="22"/>
          <w:szCs w:val="22"/>
        </w:rPr>
      </w:pPr>
      <w:r>
        <w:rPr>
          <w:sz w:val="22"/>
          <w:szCs w:val="22"/>
        </w:rPr>
        <w:t xml:space="preserve">These payment plans are based on an average settlement amount of 50% of the balance in payments over 1 to 3 years. </w:t>
      </w:r>
    </w:p>
    <w:p w14:paraId="5499A0EB" w14:textId="77777777" w:rsidR="002D5BEA" w:rsidRDefault="00916C08" w:rsidP="00916C08">
      <w:pPr>
        <w:pStyle w:val="NoSpacing"/>
        <w:numPr>
          <w:ilvl w:val="0"/>
          <w:numId w:val="13"/>
        </w:numPr>
        <w:rPr>
          <w:sz w:val="22"/>
          <w:szCs w:val="22"/>
        </w:rPr>
      </w:pPr>
      <w:r>
        <w:rPr>
          <w:sz w:val="22"/>
          <w:szCs w:val="22"/>
        </w:rPr>
        <w:t xml:space="preserve">NAA has several agencies in its network who specialize in servicing these accounts as they have a separate department with agents that have established relationships with the representatives at the DSCs. </w:t>
      </w:r>
    </w:p>
    <w:p w14:paraId="15A9043F" w14:textId="440D7DA3" w:rsidR="00916C08" w:rsidRDefault="009129EF" w:rsidP="00916C08">
      <w:pPr>
        <w:pStyle w:val="NoSpacing"/>
        <w:numPr>
          <w:ilvl w:val="0"/>
          <w:numId w:val="13"/>
        </w:numPr>
        <w:rPr>
          <w:sz w:val="22"/>
          <w:szCs w:val="22"/>
        </w:rPr>
      </w:pPr>
      <w:r w:rsidRPr="002D5BEA">
        <w:rPr>
          <w:sz w:val="22"/>
          <w:szCs w:val="22"/>
        </w:rPr>
        <w:t xml:space="preserve">These accounts can be sold at a premium, anywhere from 12% to 15%.  </w:t>
      </w:r>
    </w:p>
    <w:p w14:paraId="565C8FF3" w14:textId="60364431" w:rsidR="002D5BEA" w:rsidRDefault="002D5BEA" w:rsidP="00916C08">
      <w:pPr>
        <w:pStyle w:val="NoSpacing"/>
        <w:numPr>
          <w:ilvl w:val="0"/>
          <w:numId w:val="13"/>
        </w:numPr>
        <w:rPr>
          <w:sz w:val="22"/>
          <w:szCs w:val="22"/>
        </w:rPr>
      </w:pPr>
      <w:r>
        <w:rPr>
          <w:sz w:val="22"/>
          <w:szCs w:val="22"/>
        </w:rPr>
        <w:t>As the portfolio ages, additional consumers will enroll in the program (hence, increasing “match rates”)</w:t>
      </w:r>
    </w:p>
    <w:p w14:paraId="4C142243" w14:textId="57EE6137" w:rsidR="002D5BEA" w:rsidRDefault="002D5BEA" w:rsidP="002D5BEA">
      <w:pPr>
        <w:pStyle w:val="NoSpacing"/>
        <w:numPr>
          <w:ilvl w:val="1"/>
          <w:numId w:val="13"/>
        </w:numPr>
        <w:rPr>
          <w:sz w:val="22"/>
          <w:szCs w:val="22"/>
        </w:rPr>
      </w:pPr>
      <w:r>
        <w:rPr>
          <w:sz w:val="22"/>
          <w:szCs w:val="22"/>
        </w:rPr>
        <w:t>Prior to joining Peter at GDM/Nexa, Matt was the COO at Axiom Acquisition Ventures</w:t>
      </w:r>
      <w:r w:rsidR="00BC593C">
        <w:rPr>
          <w:sz w:val="22"/>
          <w:szCs w:val="22"/>
        </w:rPr>
        <w:t xml:space="preserve"> (“AAV”)</w:t>
      </w:r>
      <w:r>
        <w:rPr>
          <w:sz w:val="22"/>
          <w:szCs w:val="22"/>
        </w:rPr>
        <w:t xml:space="preserve">, a debt buyer that focuses specifically on purchasing and servicing DSC accounts.  Matt recalled (and confirmed with his contacts there) that </w:t>
      </w:r>
      <w:r w:rsidR="00BC593C">
        <w:rPr>
          <w:sz w:val="22"/>
          <w:szCs w:val="22"/>
        </w:rPr>
        <w:t xml:space="preserve">AAV was purchasing monthly DSC matches from another debt buyer </w:t>
      </w:r>
      <w:r w:rsidR="00542C24">
        <w:rPr>
          <w:sz w:val="22"/>
          <w:szCs w:val="22"/>
        </w:rPr>
        <w:t xml:space="preserve">that were 12 months past charge-off or older.  The match rates on these portfolios are 23% to 27%.  </w:t>
      </w:r>
    </w:p>
    <w:p w14:paraId="6EB38EB1" w14:textId="557B3286" w:rsidR="0023091A" w:rsidRDefault="00884050" w:rsidP="0023091A">
      <w:pPr>
        <w:pStyle w:val="NoSpacing"/>
        <w:numPr>
          <w:ilvl w:val="1"/>
          <w:numId w:val="13"/>
        </w:numPr>
        <w:rPr>
          <w:sz w:val="22"/>
          <w:szCs w:val="22"/>
        </w:rPr>
      </w:pPr>
      <w:r>
        <w:rPr>
          <w:sz w:val="22"/>
          <w:szCs w:val="22"/>
        </w:rPr>
        <w:t xml:space="preserve">NAA anticipates additional DSC matches as the portfolios age, building in additional “insurance” on </w:t>
      </w:r>
      <w:r w:rsidR="0023091A">
        <w:rPr>
          <w:sz w:val="22"/>
          <w:szCs w:val="22"/>
        </w:rPr>
        <w:t>returns.</w:t>
      </w:r>
    </w:p>
    <w:p w14:paraId="3A686878" w14:textId="77777777" w:rsidR="0023091A" w:rsidRDefault="0023091A" w:rsidP="0023091A">
      <w:pPr>
        <w:pStyle w:val="NoSpacing"/>
        <w:rPr>
          <w:sz w:val="22"/>
          <w:szCs w:val="22"/>
        </w:rPr>
      </w:pPr>
    </w:p>
    <w:p w14:paraId="1245F646" w14:textId="0C118F9D" w:rsidR="0023091A" w:rsidRPr="0023091A" w:rsidRDefault="0023091A" w:rsidP="0023091A">
      <w:pPr>
        <w:pStyle w:val="NoSpacing"/>
        <w:rPr>
          <w:b/>
          <w:bCs/>
        </w:rPr>
      </w:pPr>
      <w:r w:rsidRPr="0023091A">
        <w:rPr>
          <w:b/>
          <w:bCs/>
        </w:rPr>
        <w:t>4.2 – Sale of Residual Inventory</w:t>
      </w:r>
    </w:p>
    <w:p w14:paraId="7AF3D8BB" w14:textId="16369A00" w:rsidR="0023091A" w:rsidRDefault="00923C48" w:rsidP="0023091A">
      <w:pPr>
        <w:pStyle w:val="NoSpacing"/>
        <w:rPr>
          <w:sz w:val="22"/>
          <w:szCs w:val="22"/>
        </w:rPr>
      </w:pPr>
      <w:r>
        <w:rPr>
          <w:sz w:val="22"/>
          <w:szCs w:val="22"/>
        </w:rPr>
        <w:t>NAA plans to sell residual inventory after completing the contingency collection cycle on each portfolio</w:t>
      </w:r>
      <w:r w:rsidR="00E61D95">
        <w:rPr>
          <w:sz w:val="22"/>
          <w:szCs w:val="22"/>
        </w:rPr>
        <w:t>.</w:t>
      </w:r>
    </w:p>
    <w:p w14:paraId="0B91AEC7" w14:textId="2A67686B" w:rsidR="008C155C" w:rsidRDefault="00E61D95" w:rsidP="00A9210E">
      <w:pPr>
        <w:pStyle w:val="NoSpacing"/>
        <w:numPr>
          <w:ilvl w:val="0"/>
          <w:numId w:val="13"/>
        </w:numPr>
        <w:rPr>
          <w:sz w:val="22"/>
          <w:szCs w:val="22"/>
        </w:rPr>
      </w:pPr>
      <w:r>
        <w:rPr>
          <w:sz w:val="22"/>
          <w:szCs w:val="22"/>
        </w:rPr>
        <w:t xml:space="preserve">At the outset when initial projections were calculated, sales were anticipated to be conducted between Months 18 and Month 24, allowing for </w:t>
      </w:r>
      <w:r w:rsidR="009074F4">
        <w:rPr>
          <w:sz w:val="22"/>
          <w:szCs w:val="22"/>
        </w:rPr>
        <w:t>four (4) agency placement</w:t>
      </w:r>
      <w:r w:rsidR="008C155C">
        <w:rPr>
          <w:sz w:val="22"/>
          <w:szCs w:val="22"/>
        </w:rPr>
        <w:t xml:space="preserve"> periods (Primary, Secondary, Tertiary and Quad).</w:t>
      </w:r>
    </w:p>
    <w:p w14:paraId="2DE62ADF" w14:textId="09830B0E" w:rsidR="002C1D4C" w:rsidRDefault="002C1D4C" w:rsidP="002C1D4C">
      <w:pPr>
        <w:pStyle w:val="NoSpacing"/>
        <w:numPr>
          <w:ilvl w:val="0"/>
          <w:numId w:val="13"/>
        </w:numPr>
        <w:rPr>
          <w:sz w:val="22"/>
          <w:szCs w:val="22"/>
        </w:rPr>
      </w:pPr>
      <w:r>
        <w:rPr>
          <w:sz w:val="22"/>
          <w:szCs w:val="22"/>
        </w:rPr>
        <w:t>Estimated residual inventory would be the remaining inventory from the original face value of each portfolio, excluding:</w:t>
      </w:r>
    </w:p>
    <w:p w14:paraId="10036B83" w14:textId="03BBEABC" w:rsidR="002C1D4C" w:rsidRDefault="00DC40F5" w:rsidP="002C1D4C">
      <w:pPr>
        <w:pStyle w:val="NoSpacing"/>
        <w:numPr>
          <w:ilvl w:val="1"/>
          <w:numId w:val="13"/>
        </w:numPr>
        <w:rPr>
          <w:sz w:val="22"/>
          <w:szCs w:val="22"/>
        </w:rPr>
      </w:pPr>
      <w:r>
        <w:rPr>
          <w:sz w:val="22"/>
          <w:szCs w:val="22"/>
        </w:rPr>
        <w:t>The total face value of the paying inventory</w:t>
      </w:r>
    </w:p>
    <w:p w14:paraId="44FA9209" w14:textId="5E020C96" w:rsidR="00DC40F5" w:rsidRDefault="00DC40F5" w:rsidP="00DC40F5">
      <w:pPr>
        <w:pStyle w:val="NoSpacing"/>
        <w:numPr>
          <w:ilvl w:val="2"/>
          <w:numId w:val="13"/>
        </w:numPr>
        <w:rPr>
          <w:sz w:val="22"/>
          <w:szCs w:val="22"/>
        </w:rPr>
      </w:pPr>
      <w:r>
        <w:rPr>
          <w:sz w:val="22"/>
          <w:szCs w:val="22"/>
        </w:rPr>
        <w:t xml:space="preserve">Example – </w:t>
      </w:r>
      <w:r w:rsidR="00083D71">
        <w:rPr>
          <w:sz w:val="22"/>
          <w:szCs w:val="22"/>
        </w:rPr>
        <w:t>Fintech 2</w:t>
      </w:r>
      <w:r>
        <w:rPr>
          <w:sz w:val="22"/>
          <w:szCs w:val="22"/>
        </w:rPr>
        <w:t xml:space="preserve"> calls for a 20.49% gross liquidation rate to achieve a “3X” (as described above in section 2.2)</w:t>
      </w:r>
      <w:r w:rsidR="00884B23">
        <w:rPr>
          <w:sz w:val="22"/>
          <w:szCs w:val="22"/>
        </w:rPr>
        <w:t xml:space="preserve">.  We can anticipate that </w:t>
      </w:r>
      <w:r w:rsidR="00A36FE7">
        <w:rPr>
          <w:sz w:val="22"/>
          <w:szCs w:val="22"/>
        </w:rPr>
        <w:t>approximately 21% of the original face value can be subtracted from the estimated residual inventory.</w:t>
      </w:r>
    </w:p>
    <w:p w14:paraId="4A47BC27" w14:textId="7AF77CB4" w:rsidR="00DC40F5" w:rsidRDefault="004B0537" w:rsidP="002C1D4C">
      <w:pPr>
        <w:pStyle w:val="NoSpacing"/>
        <w:numPr>
          <w:ilvl w:val="1"/>
          <w:numId w:val="13"/>
        </w:numPr>
        <w:rPr>
          <w:sz w:val="22"/>
          <w:szCs w:val="22"/>
        </w:rPr>
      </w:pPr>
      <w:r>
        <w:rPr>
          <w:sz w:val="22"/>
          <w:szCs w:val="22"/>
        </w:rPr>
        <w:t>A small percentage of accounts will be rendered “uncollectable”</w:t>
      </w:r>
      <w:r w:rsidR="007A4E92">
        <w:rPr>
          <w:sz w:val="22"/>
          <w:szCs w:val="22"/>
        </w:rPr>
        <w:t xml:space="preserve"> – NAA anticipates an average of 12% in this category:</w:t>
      </w:r>
    </w:p>
    <w:p w14:paraId="2017E1FE" w14:textId="12702B87" w:rsidR="004B0537" w:rsidRDefault="004B0537" w:rsidP="004B0537">
      <w:pPr>
        <w:pStyle w:val="NoSpacing"/>
        <w:numPr>
          <w:ilvl w:val="2"/>
          <w:numId w:val="13"/>
        </w:numPr>
        <w:rPr>
          <w:sz w:val="22"/>
          <w:szCs w:val="22"/>
        </w:rPr>
      </w:pPr>
      <w:r>
        <w:rPr>
          <w:sz w:val="22"/>
          <w:szCs w:val="22"/>
        </w:rPr>
        <w:t>Bankruptcy</w:t>
      </w:r>
    </w:p>
    <w:p w14:paraId="2C506B86" w14:textId="00026A47" w:rsidR="003F510C" w:rsidRDefault="003F510C" w:rsidP="003F510C">
      <w:pPr>
        <w:pStyle w:val="NoSpacing"/>
        <w:numPr>
          <w:ilvl w:val="3"/>
          <w:numId w:val="13"/>
        </w:numPr>
        <w:rPr>
          <w:sz w:val="22"/>
          <w:szCs w:val="22"/>
        </w:rPr>
      </w:pPr>
      <w:r>
        <w:rPr>
          <w:sz w:val="22"/>
          <w:szCs w:val="22"/>
        </w:rPr>
        <w:t>Some of these can be sold, often as soon as they are identified as bankruptcy so as to allow the buyer (often a</w:t>
      </w:r>
      <w:r w:rsidR="00985059">
        <w:rPr>
          <w:sz w:val="22"/>
          <w:szCs w:val="22"/>
        </w:rPr>
        <w:t xml:space="preserve"> company that specializes in collecting on bankruptcy accounts) to be included in the bankruptcy filing for Chapter 13 </w:t>
      </w:r>
      <w:r w:rsidR="006D0837">
        <w:rPr>
          <w:sz w:val="22"/>
          <w:szCs w:val="22"/>
        </w:rPr>
        <w:t>(</w:t>
      </w:r>
      <w:r w:rsidR="002404D6">
        <w:rPr>
          <w:sz w:val="22"/>
          <w:szCs w:val="22"/>
        </w:rPr>
        <w:t xml:space="preserve">reorganization for repayment with protection from creditors). </w:t>
      </w:r>
    </w:p>
    <w:p w14:paraId="39782AC3" w14:textId="22D68CAD" w:rsidR="004B0537" w:rsidRDefault="004B0537" w:rsidP="004B0537">
      <w:pPr>
        <w:pStyle w:val="NoSpacing"/>
        <w:numPr>
          <w:ilvl w:val="2"/>
          <w:numId w:val="13"/>
        </w:numPr>
        <w:rPr>
          <w:sz w:val="22"/>
          <w:szCs w:val="22"/>
        </w:rPr>
      </w:pPr>
      <w:r>
        <w:rPr>
          <w:sz w:val="22"/>
          <w:szCs w:val="22"/>
        </w:rPr>
        <w:t>Deceased</w:t>
      </w:r>
    </w:p>
    <w:p w14:paraId="15032633" w14:textId="05B28437" w:rsidR="004B0537" w:rsidRDefault="004B0537" w:rsidP="004B0537">
      <w:pPr>
        <w:pStyle w:val="NoSpacing"/>
        <w:numPr>
          <w:ilvl w:val="2"/>
          <w:numId w:val="13"/>
        </w:numPr>
        <w:rPr>
          <w:sz w:val="22"/>
          <w:szCs w:val="22"/>
        </w:rPr>
      </w:pPr>
      <w:r>
        <w:rPr>
          <w:sz w:val="22"/>
          <w:szCs w:val="22"/>
        </w:rPr>
        <w:t>Fraud/Dispute</w:t>
      </w:r>
    </w:p>
    <w:p w14:paraId="4FD55763" w14:textId="71662ACD" w:rsidR="004B0537" w:rsidRDefault="004B0537" w:rsidP="004B0537">
      <w:pPr>
        <w:pStyle w:val="NoSpacing"/>
        <w:numPr>
          <w:ilvl w:val="2"/>
          <w:numId w:val="13"/>
        </w:numPr>
        <w:rPr>
          <w:sz w:val="22"/>
          <w:szCs w:val="22"/>
        </w:rPr>
      </w:pPr>
      <w:r>
        <w:rPr>
          <w:sz w:val="22"/>
          <w:szCs w:val="22"/>
        </w:rPr>
        <w:t>Cease and Desist</w:t>
      </w:r>
    </w:p>
    <w:p w14:paraId="448BA56B" w14:textId="66B3931A" w:rsidR="004B0537" w:rsidRDefault="00B737B5" w:rsidP="002404D6">
      <w:pPr>
        <w:pStyle w:val="NoSpacing"/>
        <w:numPr>
          <w:ilvl w:val="0"/>
          <w:numId w:val="13"/>
        </w:numPr>
        <w:rPr>
          <w:sz w:val="22"/>
          <w:szCs w:val="22"/>
        </w:rPr>
      </w:pPr>
      <w:r>
        <w:rPr>
          <w:sz w:val="22"/>
          <w:szCs w:val="22"/>
        </w:rPr>
        <w:t xml:space="preserve">NAA will negotiate the best price possible for the resale of the remaining accounts (approximately </w:t>
      </w:r>
      <w:r w:rsidR="00BB36FE">
        <w:rPr>
          <w:sz w:val="22"/>
          <w:szCs w:val="22"/>
        </w:rPr>
        <w:t>60%-65%:</w:t>
      </w:r>
    </w:p>
    <w:p w14:paraId="54621E45" w14:textId="04DC85B3" w:rsidR="00BB36FE" w:rsidRDefault="00BB36FE" w:rsidP="00BB36FE">
      <w:pPr>
        <w:pStyle w:val="NoSpacing"/>
        <w:numPr>
          <w:ilvl w:val="1"/>
          <w:numId w:val="13"/>
        </w:numPr>
        <w:rPr>
          <w:sz w:val="22"/>
          <w:szCs w:val="22"/>
        </w:rPr>
      </w:pPr>
      <w:r>
        <w:rPr>
          <w:sz w:val="22"/>
          <w:szCs w:val="22"/>
        </w:rPr>
        <w:t xml:space="preserve">DSC matches can be sold at a premium.  </w:t>
      </w:r>
    </w:p>
    <w:p w14:paraId="3341C42E" w14:textId="135C16E4" w:rsidR="00BB36FE" w:rsidRDefault="00BB36FE" w:rsidP="00BB36FE">
      <w:pPr>
        <w:pStyle w:val="NoSpacing"/>
        <w:numPr>
          <w:ilvl w:val="1"/>
          <w:numId w:val="13"/>
        </w:numPr>
        <w:rPr>
          <w:sz w:val="22"/>
          <w:szCs w:val="22"/>
        </w:rPr>
      </w:pPr>
      <w:r>
        <w:rPr>
          <w:sz w:val="22"/>
          <w:szCs w:val="22"/>
        </w:rPr>
        <w:t xml:space="preserve">Non-DSC accounts </w:t>
      </w:r>
      <w:r w:rsidR="000774B8">
        <w:rPr>
          <w:sz w:val="22"/>
          <w:szCs w:val="22"/>
        </w:rPr>
        <w:t>will still be attractive to potential buyers because:</w:t>
      </w:r>
    </w:p>
    <w:p w14:paraId="08D25732" w14:textId="0E154115" w:rsidR="000774B8" w:rsidRDefault="000774B8" w:rsidP="000774B8">
      <w:pPr>
        <w:pStyle w:val="NoSpacing"/>
        <w:numPr>
          <w:ilvl w:val="2"/>
          <w:numId w:val="13"/>
        </w:numPr>
        <w:rPr>
          <w:sz w:val="22"/>
          <w:szCs w:val="22"/>
        </w:rPr>
      </w:pPr>
      <w:r>
        <w:rPr>
          <w:sz w:val="22"/>
          <w:szCs w:val="22"/>
        </w:rPr>
        <w:t xml:space="preserve">There is only one debt buyer (NAA) in the chain of title </w:t>
      </w:r>
      <w:r w:rsidR="00F97E51">
        <w:rPr>
          <w:sz w:val="22"/>
          <w:szCs w:val="22"/>
        </w:rPr>
        <w:t>along with the original creditor.</w:t>
      </w:r>
    </w:p>
    <w:p w14:paraId="07E3E4ED" w14:textId="651BA905" w:rsidR="00F97E51" w:rsidRDefault="00F97E51" w:rsidP="000774B8">
      <w:pPr>
        <w:pStyle w:val="NoSpacing"/>
        <w:numPr>
          <w:ilvl w:val="2"/>
          <w:numId w:val="13"/>
        </w:numPr>
        <w:rPr>
          <w:sz w:val="22"/>
          <w:szCs w:val="22"/>
        </w:rPr>
      </w:pPr>
      <w:r>
        <w:rPr>
          <w:sz w:val="22"/>
          <w:szCs w:val="22"/>
        </w:rPr>
        <w:lastRenderedPageBreak/>
        <w:t xml:space="preserve">Accounts were purchased at charge-off, so all accounts will still be “In Stat” (within Statute of Limitations) with plenty of time for the new buyer to </w:t>
      </w:r>
      <w:r w:rsidR="00B606CB">
        <w:rPr>
          <w:sz w:val="22"/>
          <w:szCs w:val="22"/>
        </w:rPr>
        <w:t xml:space="preserve">execute their collection strategy through multiple agency placements. </w:t>
      </w:r>
    </w:p>
    <w:p w14:paraId="7413ED97" w14:textId="626E02F9" w:rsidR="008861AA" w:rsidRDefault="008861AA" w:rsidP="000774B8">
      <w:pPr>
        <w:pStyle w:val="NoSpacing"/>
        <w:numPr>
          <w:ilvl w:val="2"/>
          <w:numId w:val="13"/>
        </w:numPr>
        <w:rPr>
          <w:sz w:val="22"/>
          <w:szCs w:val="22"/>
        </w:rPr>
      </w:pPr>
      <w:r>
        <w:rPr>
          <w:sz w:val="22"/>
          <w:szCs w:val="22"/>
        </w:rPr>
        <w:t>Many c</w:t>
      </w:r>
      <w:r w:rsidR="00B606CB">
        <w:rPr>
          <w:sz w:val="22"/>
          <w:szCs w:val="22"/>
        </w:rPr>
        <w:t xml:space="preserve">onsumers that </w:t>
      </w:r>
      <w:r w:rsidR="00214FAC">
        <w:rPr>
          <w:sz w:val="22"/>
          <w:szCs w:val="22"/>
        </w:rPr>
        <w:t>have not</w:t>
      </w:r>
      <w:r w:rsidR="00B606CB">
        <w:rPr>
          <w:sz w:val="22"/>
          <w:szCs w:val="22"/>
        </w:rPr>
        <w:t xml:space="preserve"> paid within the first 18 to 24 months</w:t>
      </w:r>
      <w:r w:rsidR="00742F92">
        <w:rPr>
          <w:sz w:val="22"/>
          <w:szCs w:val="22"/>
        </w:rPr>
        <w:t xml:space="preserve"> </w:t>
      </w:r>
      <w:r>
        <w:rPr>
          <w:sz w:val="22"/>
          <w:szCs w:val="22"/>
        </w:rPr>
        <w:t xml:space="preserve">will have had enough time to correct their situation and begin paying off debt. </w:t>
      </w:r>
    </w:p>
    <w:p w14:paraId="27C7CE2C" w14:textId="77777777" w:rsidR="00962A6C" w:rsidRDefault="00F075C3" w:rsidP="00F075C3">
      <w:pPr>
        <w:pStyle w:val="NoSpacing"/>
        <w:numPr>
          <w:ilvl w:val="0"/>
          <w:numId w:val="13"/>
        </w:numPr>
        <w:rPr>
          <w:sz w:val="22"/>
          <w:szCs w:val="22"/>
        </w:rPr>
      </w:pPr>
      <w:r w:rsidRPr="006007D5">
        <w:rPr>
          <w:b/>
          <w:bCs/>
          <w:color w:val="EE0000"/>
          <w:sz w:val="22"/>
          <w:szCs w:val="22"/>
        </w:rPr>
        <w:t>Sale proceeds are NOT calculated in the waterfall projections to reach the 3X gross liquidation.</w:t>
      </w:r>
      <w:r>
        <w:rPr>
          <w:sz w:val="22"/>
          <w:szCs w:val="22"/>
        </w:rPr>
        <w:t xml:space="preserve"> </w:t>
      </w:r>
      <w:r w:rsidR="00FD7CC3">
        <w:rPr>
          <w:sz w:val="22"/>
          <w:szCs w:val="22"/>
        </w:rPr>
        <w:t xml:space="preserve"> These accounts serve as the “Insurance Policy” for NAA in the event of </w:t>
      </w:r>
      <w:r w:rsidR="00962A6C">
        <w:rPr>
          <w:sz w:val="22"/>
          <w:szCs w:val="22"/>
        </w:rPr>
        <w:t xml:space="preserve">unexpected circumstances (Economy downturns, natural disasters, pandemics, etc.) </w:t>
      </w:r>
    </w:p>
    <w:p w14:paraId="44300461" w14:textId="77777777" w:rsidR="00962A6C" w:rsidRDefault="00962A6C" w:rsidP="00962A6C">
      <w:pPr>
        <w:pStyle w:val="NoSpacing"/>
        <w:ind w:left="360"/>
        <w:rPr>
          <w:sz w:val="22"/>
          <w:szCs w:val="22"/>
        </w:rPr>
      </w:pPr>
    </w:p>
    <w:p w14:paraId="45069F6B" w14:textId="77777777" w:rsidR="00962A6C" w:rsidRPr="00962A6C" w:rsidRDefault="00962A6C" w:rsidP="00DF1AB3">
      <w:pPr>
        <w:pStyle w:val="NoSpacing"/>
        <w:rPr>
          <w:b/>
          <w:bCs/>
        </w:rPr>
      </w:pPr>
      <w:r w:rsidRPr="00962A6C">
        <w:rPr>
          <w:b/>
          <w:bCs/>
        </w:rPr>
        <w:t xml:space="preserve">5.0 – Performance </w:t>
      </w:r>
    </w:p>
    <w:p w14:paraId="43B7BC31" w14:textId="6B894792" w:rsidR="00DF1AB3" w:rsidRDefault="00EB242B" w:rsidP="00DF1AB3">
      <w:pPr>
        <w:pStyle w:val="NoSpacing"/>
        <w:rPr>
          <w:sz w:val="22"/>
          <w:szCs w:val="22"/>
        </w:rPr>
      </w:pPr>
      <w:r w:rsidRPr="006D5264">
        <w:rPr>
          <w:color w:val="EE0000"/>
          <w:sz w:val="22"/>
          <w:szCs w:val="22"/>
        </w:rPr>
        <w:t xml:space="preserve">NAA </w:t>
      </w:r>
      <w:r w:rsidRPr="006D5264">
        <w:rPr>
          <w:b/>
          <w:bCs/>
          <w:color w:val="EE0000"/>
          <w:sz w:val="22"/>
          <w:szCs w:val="22"/>
          <w:u w:val="single"/>
        </w:rPr>
        <w:t>manages strategy</w:t>
      </w:r>
      <w:r w:rsidRPr="006D5264">
        <w:rPr>
          <w:color w:val="EE0000"/>
          <w:sz w:val="22"/>
          <w:szCs w:val="22"/>
        </w:rPr>
        <w:t xml:space="preserve"> to Investor Returns.  </w:t>
      </w:r>
      <w:r w:rsidR="00742F92">
        <w:rPr>
          <w:sz w:val="22"/>
          <w:szCs w:val="22"/>
        </w:rPr>
        <w:t xml:space="preserve">The Portfolio Trending report in </w:t>
      </w:r>
      <w:proofErr w:type="spellStart"/>
      <w:r w:rsidR="00742F92">
        <w:rPr>
          <w:sz w:val="22"/>
          <w:szCs w:val="22"/>
        </w:rPr>
        <w:t>PowerBI</w:t>
      </w:r>
      <w:proofErr w:type="spellEnd"/>
      <w:r w:rsidR="00742F92">
        <w:rPr>
          <w:sz w:val="22"/>
          <w:szCs w:val="22"/>
        </w:rPr>
        <w:t xml:space="preserve"> </w:t>
      </w:r>
      <w:r w:rsidR="00E877DA">
        <w:rPr>
          <w:sz w:val="22"/>
          <w:szCs w:val="22"/>
        </w:rPr>
        <w:t>(see screens</w:t>
      </w:r>
      <w:r w:rsidR="009D167D">
        <w:rPr>
          <w:sz w:val="22"/>
          <w:szCs w:val="22"/>
        </w:rPr>
        <w:t>h</w:t>
      </w:r>
      <w:r w:rsidR="00E877DA">
        <w:rPr>
          <w:sz w:val="22"/>
          <w:szCs w:val="22"/>
        </w:rPr>
        <w:t xml:space="preserve">ot below) </w:t>
      </w:r>
      <w:r w:rsidR="00742F92">
        <w:rPr>
          <w:sz w:val="22"/>
          <w:szCs w:val="22"/>
        </w:rPr>
        <w:t xml:space="preserve">is updated weekly with Agency Weekly Reporting provided every Monday by 12noon EST, representing </w:t>
      </w:r>
      <w:r w:rsidR="00DF1AB3">
        <w:rPr>
          <w:sz w:val="22"/>
          <w:szCs w:val="22"/>
        </w:rPr>
        <w:t>collections through the end of business on the previous Friday.</w:t>
      </w:r>
    </w:p>
    <w:p w14:paraId="781B4D49" w14:textId="0A58E753" w:rsidR="0032319C" w:rsidRDefault="0032319C" w:rsidP="001D1534">
      <w:pPr>
        <w:pStyle w:val="NoSpacing"/>
        <w:numPr>
          <w:ilvl w:val="0"/>
          <w:numId w:val="13"/>
        </w:numPr>
        <w:rPr>
          <w:sz w:val="22"/>
          <w:szCs w:val="22"/>
        </w:rPr>
      </w:pPr>
      <w:r w:rsidRPr="001D1534">
        <w:rPr>
          <w:sz w:val="22"/>
          <w:szCs w:val="22"/>
        </w:rPr>
        <w:t xml:space="preserve">This shows how </w:t>
      </w:r>
      <w:r w:rsidR="00214FAC" w:rsidRPr="001D1534">
        <w:rPr>
          <w:sz w:val="22"/>
          <w:szCs w:val="22"/>
        </w:rPr>
        <w:t>we are</w:t>
      </w:r>
      <w:r w:rsidRPr="001D1534">
        <w:rPr>
          <w:sz w:val="22"/>
          <w:szCs w:val="22"/>
        </w:rPr>
        <w:t xml:space="preserve"> trending with posted cash plus postdates through Month 12, and posted cash plus postdates through Month 36 respectively, as we target 100% of investor capital returned in 12-15 months, and an overall return of 167%+ by Month 36.  </w:t>
      </w:r>
    </w:p>
    <w:p w14:paraId="07909B0C" w14:textId="4C70F1FB" w:rsidR="001D1534" w:rsidRDefault="00F04EB6" w:rsidP="001D1534">
      <w:pPr>
        <w:pStyle w:val="NoSpacing"/>
        <w:numPr>
          <w:ilvl w:val="0"/>
          <w:numId w:val="13"/>
        </w:numPr>
        <w:rPr>
          <w:sz w:val="22"/>
          <w:szCs w:val="22"/>
        </w:rPr>
      </w:pPr>
      <w:r>
        <w:rPr>
          <w:sz w:val="22"/>
          <w:szCs w:val="22"/>
        </w:rPr>
        <w:t>Portfolios 1410 and 1402</w:t>
      </w:r>
      <w:r w:rsidR="00E141E8">
        <w:rPr>
          <w:sz w:val="22"/>
          <w:szCs w:val="22"/>
        </w:rPr>
        <w:t xml:space="preserve"> should have 100% </w:t>
      </w:r>
      <w:r w:rsidR="00AC5BA4">
        <w:rPr>
          <w:sz w:val="22"/>
          <w:szCs w:val="22"/>
        </w:rPr>
        <w:t>of investor capital returned within the next 2-3 month</w:t>
      </w:r>
      <w:r w:rsidR="006B265D">
        <w:rPr>
          <w:sz w:val="22"/>
          <w:szCs w:val="22"/>
        </w:rPr>
        <w:t>s.</w:t>
      </w:r>
    </w:p>
    <w:p w14:paraId="32140FEB" w14:textId="32C7042B" w:rsidR="006B265D" w:rsidRDefault="006B265D" w:rsidP="001D1534">
      <w:pPr>
        <w:pStyle w:val="NoSpacing"/>
        <w:numPr>
          <w:ilvl w:val="0"/>
          <w:numId w:val="13"/>
        </w:numPr>
        <w:rPr>
          <w:sz w:val="22"/>
          <w:szCs w:val="22"/>
        </w:rPr>
      </w:pPr>
      <w:r>
        <w:rPr>
          <w:sz w:val="22"/>
          <w:szCs w:val="22"/>
        </w:rPr>
        <w:t xml:space="preserve">Portfolios </w:t>
      </w:r>
      <w:r w:rsidR="001F6F9C">
        <w:rPr>
          <w:sz w:val="22"/>
          <w:szCs w:val="22"/>
        </w:rPr>
        <w:t xml:space="preserve">1501, 1502 and 1503 should return 100% of investor </w:t>
      </w:r>
      <w:r w:rsidR="003E0970">
        <w:rPr>
          <w:sz w:val="22"/>
          <w:szCs w:val="22"/>
        </w:rPr>
        <w:t xml:space="preserve">within the next 5 months. </w:t>
      </w:r>
    </w:p>
    <w:p w14:paraId="128DB0AD" w14:textId="1E355AF9" w:rsidR="003E0970" w:rsidRPr="001D1534" w:rsidRDefault="0020694D" w:rsidP="001D1534">
      <w:pPr>
        <w:pStyle w:val="NoSpacing"/>
        <w:numPr>
          <w:ilvl w:val="0"/>
          <w:numId w:val="13"/>
        </w:numPr>
        <w:rPr>
          <w:sz w:val="22"/>
          <w:szCs w:val="22"/>
        </w:rPr>
      </w:pPr>
      <w:r>
        <w:rPr>
          <w:sz w:val="22"/>
          <w:szCs w:val="22"/>
        </w:rPr>
        <w:t xml:space="preserve">All portfolios are trending well, </w:t>
      </w:r>
    </w:p>
    <w:p w14:paraId="586F8F3D" w14:textId="445B494E" w:rsidR="00DF1AB3" w:rsidRDefault="00DF1AB3" w:rsidP="001D1534">
      <w:pPr>
        <w:pStyle w:val="NoSpacing"/>
        <w:rPr>
          <w:sz w:val="22"/>
          <w:szCs w:val="22"/>
        </w:rPr>
      </w:pPr>
    </w:p>
    <w:p w14:paraId="1B4E9478" w14:textId="77777777" w:rsidR="00EB242B" w:rsidRDefault="00EB242B" w:rsidP="001D1534">
      <w:pPr>
        <w:pStyle w:val="NoSpacing"/>
        <w:rPr>
          <w:sz w:val="22"/>
          <w:szCs w:val="22"/>
        </w:rPr>
      </w:pPr>
    </w:p>
    <w:p w14:paraId="3FBD9792" w14:textId="00F201EC" w:rsidR="00F942FD" w:rsidRPr="001325BE" w:rsidRDefault="003A7CCD" w:rsidP="001325BE">
      <w:pPr>
        <w:pStyle w:val="NoSpacing"/>
        <w:ind w:left="360"/>
        <w:jc w:val="center"/>
        <w:rPr>
          <w:sz w:val="22"/>
          <w:szCs w:val="22"/>
        </w:rPr>
      </w:pPr>
      <w:r w:rsidRPr="003A7CCD">
        <w:rPr>
          <w:sz w:val="22"/>
          <w:szCs w:val="22"/>
        </w:rPr>
        <w:drawing>
          <wp:inline distT="0" distB="0" distL="0" distR="0" wp14:anchorId="5F4075ED" wp14:editId="756CA4FD">
            <wp:extent cx="3257550" cy="2447010"/>
            <wp:effectExtent l="0" t="0" r="0" b="0"/>
            <wp:docPr id="663083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83409" name=""/>
                    <pic:cNvPicPr/>
                  </pic:nvPicPr>
                  <pic:blipFill>
                    <a:blip r:embed="rId13"/>
                    <a:stretch>
                      <a:fillRect/>
                    </a:stretch>
                  </pic:blipFill>
                  <pic:spPr>
                    <a:xfrm>
                      <a:off x="0" y="0"/>
                      <a:ext cx="3282422" cy="2465694"/>
                    </a:xfrm>
                    <a:prstGeom prst="rect">
                      <a:avLst/>
                    </a:prstGeom>
                  </pic:spPr>
                </pic:pic>
              </a:graphicData>
            </a:graphic>
          </wp:inline>
        </w:drawing>
      </w:r>
    </w:p>
    <w:p w14:paraId="74761878" w14:textId="77777777" w:rsidR="00417708" w:rsidRPr="00AC422E" w:rsidRDefault="00F63251" w:rsidP="00417708">
      <w:pPr>
        <w:pStyle w:val="NoSpacing"/>
        <w:jc w:val="center"/>
        <w:rPr>
          <w:b/>
          <w:bCs/>
          <w:sz w:val="32"/>
          <w:szCs w:val="32"/>
        </w:rPr>
      </w:pPr>
      <w:r>
        <w:rPr>
          <w:sz w:val="22"/>
          <w:szCs w:val="22"/>
        </w:rPr>
        <w:lastRenderedPageBreak/>
        <w:tab/>
      </w:r>
      <w:r w:rsidR="00417708" w:rsidRPr="00AC422E">
        <w:rPr>
          <w:b/>
          <w:bCs/>
          <w:sz w:val="32"/>
          <w:szCs w:val="32"/>
        </w:rPr>
        <w:t xml:space="preserve">Contingency Collection Strategy </w:t>
      </w:r>
    </w:p>
    <w:p w14:paraId="7195B298" w14:textId="77777777" w:rsidR="00417708" w:rsidRPr="00DE60EE" w:rsidRDefault="00417708" w:rsidP="00417708">
      <w:pPr>
        <w:pStyle w:val="NoSpacing"/>
      </w:pPr>
    </w:p>
    <w:p w14:paraId="16F16CEE" w14:textId="77777777" w:rsidR="00417708" w:rsidRDefault="00417708" w:rsidP="00417708">
      <w:pPr>
        <w:pStyle w:val="NoSpacing"/>
      </w:pPr>
      <w:r w:rsidRPr="00DE60EE">
        <w:t>Contingency Collection Strategy is based on five Key Performance Indicators</w:t>
      </w:r>
      <w:r>
        <w:t xml:space="preserve"> (KPIs). NAA’s agencies must not only set expectations but also consistently and effectively manage their agents to ensure that strategy is being executed for maximal performance:</w:t>
      </w:r>
    </w:p>
    <w:p w14:paraId="46EC95BE" w14:textId="77777777" w:rsidR="00417708" w:rsidRPr="009B6293" w:rsidRDefault="00417708" w:rsidP="00417708">
      <w:pPr>
        <w:pStyle w:val="NoSpacing"/>
        <w:numPr>
          <w:ilvl w:val="0"/>
          <w:numId w:val="3"/>
        </w:numPr>
        <w:rPr>
          <w:b/>
          <w:bCs/>
        </w:rPr>
      </w:pPr>
      <w:r w:rsidRPr="009B6293">
        <w:rPr>
          <w:b/>
          <w:bCs/>
        </w:rPr>
        <w:t xml:space="preserve">Letter Strategy </w:t>
      </w:r>
    </w:p>
    <w:p w14:paraId="7D396519" w14:textId="77777777" w:rsidR="00417708" w:rsidRDefault="00417708" w:rsidP="00417708">
      <w:pPr>
        <w:pStyle w:val="NoSpacing"/>
        <w:numPr>
          <w:ilvl w:val="1"/>
          <w:numId w:val="3"/>
        </w:numPr>
      </w:pPr>
      <w:r>
        <w:t>Initial Notice Letter is required by law within 3 to 5 days of account placement with agency.</w:t>
      </w:r>
    </w:p>
    <w:p w14:paraId="1DE87070" w14:textId="77777777" w:rsidR="00417708" w:rsidRDefault="00417708" w:rsidP="00417708">
      <w:pPr>
        <w:pStyle w:val="NoSpacing"/>
        <w:numPr>
          <w:ilvl w:val="1"/>
          <w:numId w:val="3"/>
        </w:numPr>
      </w:pPr>
      <w:r>
        <w:t>Emails cost 1-cent per, offsetting the costs of paper letters and postage.</w:t>
      </w:r>
    </w:p>
    <w:p w14:paraId="792E3201" w14:textId="77777777" w:rsidR="00417708" w:rsidRPr="009B6293" w:rsidRDefault="00417708" w:rsidP="00417708">
      <w:pPr>
        <w:pStyle w:val="NoSpacing"/>
        <w:numPr>
          <w:ilvl w:val="0"/>
          <w:numId w:val="3"/>
        </w:numPr>
        <w:rPr>
          <w:b/>
          <w:bCs/>
        </w:rPr>
      </w:pPr>
      <w:r w:rsidRPr="009B6293">
        <w:rPr>
          <w:b/>
          <w:bCs/>
        </w:rPr>
        <w:t>Attempt Rate</w:t>
      </w:r>
    </w:p>
    <w:p w14:paraId="7C414ED7" w14:textId="77777777" w:rsidR="00417708" w:rsidRDefault="00417708" w:rsidP="00417708">
      <w:pPr>
        <w:pStyle w:val="NoSpacing"/>
        <w:numPr>
          <w:ilvl w:val="1"/>
          <w:numId w:val="3"/>
        </w:numPr>
      </w:pPr>
      <w:r>
        <w:t>The Consumer Financial Protection Bureau (CFPB) Regulation F, established in November 2022, dictates that a collection agency may only make 7 attempts in a 7-day period, including calls, emails, and texts.</w:t>
      </w:r>
    </w:p>
    <w:p w14:paraId="707A7F52" w14:textId="77777777" w:rsidR="00417708" w:rsidRPr="009B6293" w:rsidRDefault="00417708" w:rsidP="00417708">
      <w:pPr>
        <w:pStyle w:val="NoSpacing"/>
        <w:numPr>
          <w:ilvl w:val="1"/>
          <w:numId w:val="3"/>
        </w:numPr>
      </w:pPr>
      <w:r>
        <w:t>Dialing and/or texting the best numbers (i.e., verified cell phones) is imperative.</w:t>
      </w:r>
    </w:p>
    <w:p w14:paraId="26735850" w14:textId="77777777" w:rsidR="00417708" w:rsidRDefault="00417708" w:rsidP="00417708">
      <w:pPr>
        <w:pStyle w:val="NoSpacing"/>
        <w:numPr>
          <w:ilvl w:val="0"/>
          <w:numId w:val="3"/>
        </w:numPr>
      </w:pPr>
      <w:r w:rsidRPr="009B6293">
        <w:rPr>
          <w:b/>
          <w:bCs/>
        </w:rPr>
        <w:t>Contact Rate</w:t>
      </w:r>
      <w:r>
        <w:t xml:space="preserve"> – Number of RPCs (Right-Party Contacts) divided by number of Attempts (Calls)</w:t>
      </w:r>
    </w:p>
    <w:p w14:paraId="320FC1B7" w14:textId="77777777" w:rsidR="00417708" w:rsidRDefault="00417708" w:rsidP="00417708">
      <w:pPr>
        <w:pStyle w:val="NoSpacing"/>
        <w:numPr>
          <w:ilvl w:val="1"/>
          <w:numId w:val="3"/>
        </w:numPr>
      </w:pPr>
      <w:r>
        <w:t>If the appropriate number of attempts are being made, the result should be a Contact Rate of 10%-15%</w:t>
      </w:r>
    </w:p>
    <w:p w14:paraId="21875C5A" w14:textId="77777777" w:rsidR="00417708" w:rsidRDefault="00417708" w:rsidP="00417708">
      <w:pPr>
        <w:pStyle w:val="NoSpacing"/>
        <w:numPr>
          <w:ilvl w:val="0"/>
          <w:numId w:val="3"/>
        </w:numPr>
      </w:pPr>
      <w:r w:rsidRPr="009B6293">
        <w:rPr>
          <w:b/>
          <w:bCs/>
        </w:rPr>
        <w:t>Conversion Rate</w:t>
      </w:r>
      <w:r>
        <w:t xml:space="preserve"> – Converting RPCs to Promises and Payers</w:t>
      </w:r>
    </w:p>
    <w:p w14:paraId="60EEBE7D" w14:textId="77777777" w:rsidR="00417708" w:rsidRDefault="00417708" w:rsidP="00417708">
      <w:pPr>
        <w:pStyle w:val="NoSpacing"/>
        <w:numPr>
          <w:ilvl w:val="1"/>
          <w:numId w:val="3"/>
        </w:numPr>
      </w:pPr>
      <w:r>
        <w:t>50% of consumers should commit to some type of arrangement (Promise To Pay)</w:t>
      </w:r>
    </w:p>
    <w:p w14:paraId="420E9A6D" w14:textId="77777777" w:rsidR="00417708" w:rsidRDefault="00417708" w:rsidP="00417708">
      <w:pPr>
        <w:pStyle w:val="NoSpacing"/>
        <w:numPr>
          <w:ilvl w:val="1"/>
          <w:numId w:val="3"/>
        </w:numPr>
      </w:pPr>
      <w:r>
        <w:t>50% of the consumers who promise to pay will actually secure, and follow through with, their payment arrangements.</w:t>
      </w:r>
    </w:p>
    <w:p w14:paraId="45471958" w14:textId="77777777" w:rsidR="00417708" w:rsidRPr="009B6293" w:rsidRDefault="00417708" w:rsidP="00417708">
      <w:pPr>
        <w:pStyle w:val="NoSpacing"/>
        <w:numPr>
          <w:ilvl w:val="0"/>
          <w:numId w:val="3"/>
        </w:numPr>
        <w:rPr>
          <w:b/>
          <w:bCs/>
        </w:rPr>
      </w:pPr>
      <w:r w:rsidRPr="009B6293">
        <w:rPr>
          <w:b/>
          <w:bCs/>
        </w:rPr>
        <w:t>Payment Arrangements</w:t>
      </w:r>
    </w:p>
    <w:p w14:paraId="53A42553" w14:textId="77777777" w:rsidR="00417708" w:rsidRDefault="00417708" w:rsidP="00417708">
      <w:pPr>
        <w:pStyle w:val="NoSpacing"/>
        <w:numPr>
          <w:ilvl w:val="1"/>
          <w:numId w:val="3"/>
        </w:numPr>
      </w:pPr>
      <w:r>
        <w:t>Effective negotiations and follow-up will result in an NSF (insufficient funds) and Broken Promise rate of 5% or less (anything higher is unacceptable)</w:t>
      </w:r>
    </w:p>
    <w:p w14:paraId="5B38D19E" w14:textId="77777777" w:rsidR="00417708" w:rsidRPr="00DE60EE" w:rsidRDefault="00417708" w:rsidP="00417708">
      <w:pPr>
        <w:pStyle w:val="NoSpacing"/>
        <w:numPr>
          <w:ilvl w:val="1"/>
          <w:numId w:val="3"/>
        </w:numPr>
      </w:pPr>
      <w:r>
        <w:t>Payer Base and Monthly Liquidation Rates should increase accordingly, as Down Payments, Lump-Sum Settlement Payments and Postdated Payment Arrangements are consistently secured over time.</w:t>
      </w:r>
    </w:p>
    <w:p w14:paraId="2DCE8CE4" w14:textId="77777777" w:rsidR="00417708" w:rsidRDefault="00417708" w:rsidP="00417708">
      <w:pPr>
        <w:pStyle w:val="NoSpacing"/>
      </w:pPr>
    </w:p>
    <w:p w14:paraId="67FFCF48" w14:textId="77777777" w:rsidR="00417708" w:rsidRPr="007443A5" w:rsidRDefault="00417708" w:rsidP="00417708">
      <w:pPr>
        <w:pStyle w:val="NoSpacing"/>
        <w:rPr>
          <w:b/>
          <w:bCs/>
        </w:rPr>
      </w:pPr>
      <w:r w:rsidRPr="007443A5">
        <w:rPr>
          <w:b/>
          <w:bCs/>
        </w:rPr>
        <w:t>Letter</w:t>
      </w:r>
      <w:r>
        <w:rPr>
          <w:b/>
          <w:bCs/>
        </w:rPr>
        <w:t>s – Strategy for regulatory compliance and for performance</w:t>
      </w:r>
    </w:p>
    <w:p w14:paraId="5BBFEFCC" w14:textId="77777777" w:rsidR="00417708" w:rsidRDefault="00417708" w:rsidP="00417708">
      <w:pPr>
        <w:pStyle w:val="NoSpacing"/>
        <w:numPr>
          <w:ilvl w:val="0"/>
          <w:numId w:val="2"/>
        </w:numPr>
      </w:pPr>
      <w:r>
        <w:t xml:space="preserve">Initial Dunn upon placement </w:t>
      </w:r>
    </w:p>
    <w:p w14:paraId="6D5F3B80" w14:textId="77777777" w:rsidR="00417708" w:rsidRDefault="00417708" w:rsidP="00417708">
      <w:pPr>
        <w:pStyle w:val="NoSpacing"/>
        <w:numPr>
          <w:ilvl w:val="0"/>
          <w:numId w:val="2"/>
        </w:numPr>
      </w:pPr>
      <w:r>
        <w:t>Second Notice after 30 to 45 days from placement</w:t>
      </w:r>
    </w:p>
    <w:p w14:paraId="797A87E5" w14:textId="77777777" w:rsidR="00417708" w:rsidRDefault="00417708" w:rsidP="00417708">
      <w:pPr>
        <w:pStyle w:val="NoSpacing"/>
        <w:numPr>
          <w:ilvl w:val="1"/>
          <w:numId w:val="2"/>
        </w:numPr>
      </w:pPr>
      <w:r>
        <w:t>Settlement Offer is often employed in the second notice letter.</w:t>
      </w:r>
    </w:p>
    <w:p w14:paraId="6CBC59B2" w14:textId="77777777" w:rsidR="00417708" w:rsidRDefault="00417708" w:rsidP="00417708">
      <w:pPr>
        <w:pStyle w:val="NoSpacing"/>
        <w:numPr>
          <w:ilvl w:val="0"/>
          <w:numId w:val="2"/>
        </w:numPr>
      </w:pPr>
      <w:r>
        <w:t>Letters sent monthly during the entire placement period.</w:t>
      </w:r>
    </w:p>
    <w:p w14:paraId="3EC1E303" w14:textId="77777777" w:rsidR="00417708" w:rsidRDefault="00417708" w:rsidP="00417708">
      <w:pPr>
        <w:pStyle w:val="NoSpacing"/>
        <w:numPr>
          <w:ilvl w:val="0"/>
          <w:numId w:val="2"/>
        </w:numPr>
      </w:pPr>
      <w:r>
        <w:t>Inbound Call KPI Tracking – RPCs, Conversions, Payment Arrangements</w:t>
      </w:r>
    </w:p>
    <w:p w14:paraId="115B8701" w14:textId="77777777" w:rsidR="00C75BFE" w:rsidRDefault="00C75BFE" w:rsidP="00417708">
      <w:pPr>
        <w:pStyle w:val="NoSpacing"/>
        <w:ind w:left="360"/>
        <w:rPr>
          <w:b/>
          <w:bCs/>
        </w:rPr>
      </w:pPr>
    </w:p>
    <w:p w14:paraId="2C66A50F" w14:textId="769A1D1B" w:rsidR="00417708" w:rsidRPr="00417708" w:rsidRDefault="00417708" w:rsidP="00417708">
      <w:pPr>
        <w:pStyle w:val="NoSpacing"/>
        <w:ind w:left="360"/>
      </w:pPr>
      <w:r w:rsidRPr="00417708">
        <w:rPr>
          <w:b/>
          <w:bCs/>
        </w:rPr>
        <w:lastRenderedPageBreak/>
        <w:t xml:space="preserve">Attempts – Calls, Emails, Texts </w:t>
      </w:r>
    </w:p>
    <w:p w14:paraId="78D6F408" w14:textId="77777777" w:rsidR="00417708" w:rsidRDefault="00417708" w:rsidP="00417708">
      <w:pPr>
        <w:pStyle w:val="NoSpacing"/>
        <w:numPr>
          <w:ilvl w:val="0"/>
          <w:numId w:val="2"/>
        </w:numPr>
      </w:pPr>
      <w:r>
        <w:t>Maximizing Penetration</w:t>
      </w:r>
    </w:p>
    <w:p w14:paraId="695CD0F6" w14:textId="77777777" w:rsidR="00417708" w:rsidRDefault="00417708" w:rsidP="00417708">
      <w:pPr>
        <w:pStyle w:val="NoSpacing"/>
        <w:numPr>
          <w:ilvl w:val="1"/>
          <w:numId w:val="2"/>
        </w:numPr>
      </w:pPr>
      <w:r>
        <w:t xml:space="preserve">Collectors dialing 25 to 30 phones per hour to penetrate as much of the inventory as possible. </w:t>
      </w:r>
    </w:p>
    <w:p w14:paraId="28C96986" w14:textId="77777777" w:rsidR="00417708" w:rsidRDefault="00417708" w:rsidP="00417708">
      <w:pPr>
        <w:pStyle w:val="NoSpacing"/>
        <w:numPr>
          <w:ilvl w:val="0"/>
          <w:numId w:val="2"/>
        </w:numPr>
      </w:pPr>
      <w:r>
        <w:t xml:space="preserve">Leaving voicemails </w:t>
      </w:r>
    </w:p>
    <w:p w14:paraId="51E212B2" w14:textId="77777777" w:rsidR="00417708" w:rsidRDefault="00417708" w:rsidP="00417708">
      <w:pPr>
        <w:pStyle w:val="NoSpacing"/>
        <w:numPr>
          <w:ilvl w:val="1"/>
          <w:numId w:val="2"/>
        </w:numPr>
      </w:pPr>
      <w:r>
        <w:t xml:space="preserve">Limited allowed attempts (per CFPB Regulation F) </w:t>
      </w:r>
    </w:p>
    <w:p w14:paraId="68F40869" w14:textId="77777777" w:rsidR="00417708" w:rsidRDefault="00417708" w:rsidP="00417708">
      <w:pPr>
        <w:pStyle w:val="NoSpacing"/>
        <w:numPr>
          <w:ilvl w:val="0"/>
          <w:numId w:val="2"/>
        </w:numPr>
      </w:pPr>
      <w:r>
        <w:t>Sending Emails and Texts</w:t>
      </w:r>
    </w:p>
    <w:p w14:paraId="74F38480" w14:textId="77777777" w:rsidR="00417708" w:rsidRDefault="00417708" w:rsidP="00417708">
      <w:pPr>
        <w:pStyle w:val="NoSpacing"/>
        <w:numPr>
          <w:ilvl w:val="1"/>
          <w:numId w:val="2"/>
        </w:numPr>
      </w:pPr>
      <w:r>
        <w:t xml:space="preserve">Inbound Call KPI Tracking – RPCs, Conversions, Payment Arrangements </w:t>
      </w:r>
    </w:p>
    <w:p w14:paraId="3D2F12F8" w14:textId="77777777" w:rsidR="00417708" w:rsidRDefault="00417708" w:rsidP="00417708">
      <w:pPr>
        <w:pStyle w:val="NoSpacing"/>
        <w:numPr>
          <w:ilvl w:val="0"/>
          <w:numId w:val="2"/>
        </w:numPr>
      </w:pPr>
      <w:r>
        <w:t>Permission to call back</w:t>
      </w:r>
    </w:p>
    <w:p w14:paraId="51F7804C" w14:textId="77777777" w:rsidR="00417708" w:rsidRDefault="00417708" w:rsidP="00417708">
      <w:pPr>
        <w:pStyle w:val="NoSpacing"/>
        <w:numPr>
          <w:ilvl w:val="1"/>
          <w:numId w:val="2"/>
        </w:numPr>
      </w:pPr>
      <w:r>
        <w:t>Negates CFPB Regulation F requirements on attempts and enables follow-up with consumers as needed until a payment arrangement is secured.</w:t>
      </w:r>
    </w:p>
    <w:p w14:paraId="0C913AAA" w14:textId="77777777" w:rsidR="00417708" w:rsidRDefault="00417708" w:rsidP="00417708">
      <w:pPr>
        <w:pStyle w:val="NoSpacing"/>
        <w:rPr>
          <w:b/>
          <w:bCs/>
        </w:rPr>
      </w:pPr>
    </w:p>
    <w:p w14:paraId="3A844E4B" w14:textId="77777777" w:rsidR="00417708" w:rsidRPr="007443A5" w:rsidRDefault="00417708" w:rsidP="00417708">
      <w:pPr>
        <w:pStyle w:val="NoSpacing"/>
        <w:rPr>
          <w:b/>
          <w:bCs/>
        </w:rPr>
      </w:pPr>
      <w:r w:rsidRPr="007443A5">
        <w:rPr>
          <w:b/>
          <w:bCs/>
        </w:rPr>
        <w:t>RPCs – Right Party Contacts</w:t>
      </w:r>
    </w:p>
    <w:p w14:paraId="00BC787A" w14:textId="77777777" w:rsidR="00417708" w:rsidRDefault="00417708" w:rsidP="00417708">
      <w:pPr>
        <w:pStyle w:val="NoSpacing"/>
        <w:numPr>
          <w:ilvl w:val="0"/>
          <w:numId w:val="2"/>
        </w:numPr>
      </w:pPr>
      <w:r>
        <w:t>Maximizing penetration</w:t>
      </w:r>
    </w:p>
    <w:p w14:paraId="5966A301" w14:textId="77777777" w:rsidR="00417708" w:rsidRDefault="00417708" w:rsidP="00417708">
      <w:pPr>
        <w:pStyle w:val="NoSpacing"/>
        <w:numPr>
          <w:ilvl w:val="1"/>
          <w:numId w:val="2"/>
        </w:numPr>
      </w:pPr>
      <w:r>
        <w:t xml:space="preserve">Collectors should be dialing 20-30 phone calls per hour UNLESS they are contacting an appropriate number of consumers, in which case they will be on the phone negotiating and securing payments. </w:t>
      </w:r>
    </w:p>
    <w:p w14:paraId="51885087" w14:textId="77777777" w:rsidR="00417708" w:rsidRDefault="00417708" w:rsidP="00417708">
      <w:pPr>
        <w:pStyle w:val="NoSpacing"/>
        <w:numPr>
          <w:ilvl w:val="0"/>
          <w:numId w:val="2"/>
        </w:numPr>
      </w:pPr>
      <w:r>
        <w:t xml:space="preserve">Dialing the correct phones </w:t>
      </w:r>
    </w:p>
    <w:p w14:paraId="75863750" w14:textId="77777777" w:rsidR="00417708" w:rsidRDefault="00417708" w:rsidP="00417708">
      <w:pPr>
        <w:pStyle w:val="NoSpacing"/>
        <w:numPr>
          <w:ilvl w:val="1"/>
          <w:numId w:val="2"/>
        </w:numPr>
      </w:pPr>
      <w:r>
        <w:t xml:space="preserve">Everyone has cell phones. With CFPB Regulation F attempt limitations, cell phones should be verified via trusted skip tracing tools and should be called as the priority phone number on the file. </w:t>
      </w:r>
    </w:p>
    <w:p w14:paraId="3904E3F6" w14:textId="77777777" w:rsidR="00417708" w:rsidRDefault="00417708" w:rsidP="00417708">
      <w:pPr>
        <w:pStyle w:val="NoSpacing"/>
        <w:numPr>
          <w:ilvl w:val="0"/>
          <w:numId w:val="2"/>
        </w:numPr>
      </w:pPr>
      <w:r>
        <w:t>Varying call times</w:t>
      </w:r>
    </w:p>
    <w:p w14:paraId="0BAA1D6D" w14:textId="77777777" w:rsidR="00417708" w:rsidRDefault="00417708" w:rsidP="00417708">
      <w:pPr>
        <w:pStyle w:val="NoSpacing"/>
        <w:numPr>
          <w:ilvl w:val="1"/>
          <w:numId w:val="2"/>
        </w:numPr>
      </w:pPr>
      <w:r>
        <w:t>Ensures contact the consumer at the Best Time to Reach</w:t>
      </w:r>
    </w:p>
    <w:p w14:paraId="183795E6" w14:textId="77777777" w:rsidR="00417708" w:rsidRDefault="00417708" w:rsidP="00417708">
      <w:pPr>
        <w:pStyle w:val="NoSpacing"/>
        <w:numPr>
          <w:ilvl w:val="0"/>
          <w:numId w:val="2"/>
        </w:numPr>
      </w:pPr>
      <w:r>
        <w:t>Consistent follow-up</w:t>
      </w:r>
    </w:p>
    <w:p w14:paraId="277E4DFB" w14:textId="77777777" w:rsidR="00417708" w:rsidRDefault="00417708" w:rsidP="00417708">
      <w:pPr>
        <w:pStyle w:val="NoSpacing"/>
        <w:numPr>
          <w:ilvl w:val="1"/>
          <w:numId w:val="2"/>
        </w:numPr>
      </w:pPr>
      <w:r>
        <w:t xml:space="preserve">If a consumer or third-party advises of a Best Time to Reach the consumer, collectors MUST call back at that time. </w:t>
      </w:r>
    </w:p>
    <w:p w14:paraId="33825D37" w14:textId="77777777" w:rsidR="00417708" w:rsidRDefault="00417708" w:rsidP="00417708">
      <w:pPr>
        <w:pStyle w:val="NoSpacing"/>
      </w:pPr>
    </w:p>
    <w:p w14:paraId="2B3EE850" w14:textId="77777777" w:rsidR="00417708" w:rsidRPr="007443A5" w:rsidRDefault="00417708" w:rsidP="00417708">
      <w:pPr>
        <w:pStyle w:val="NoSpacing"/>
        <w:rPr>
          <w:b/>
          <w:bCs/>
        </w:rPr>
      </w:pPr>
      <w:r w:rsidRPr="007443A5">
        <w:rPr>
          <w:b/>
          <w:bCs/>
        </w:rPr>
        <w:t>Conversions – Secured Payers and Unsecured Promises</w:t>
      </w:r>
    </w:p>
    <w:p w14:paraId="27631D08" w14:textId="77777777" w:rsidR="00417708" w:rsidRDefault="00417708" w:rsidP="00417708">
      <w:pPr>
        <w:pStyle w:val="NoSpacing"/>
        <w:numPr>
          <w:ilvl w:val="0"/>
          <w:numId w:val="2"/>
        </w:numPr>
      </w:pPr>
      <w:r>
        <w:t xml:space="preserve">Effective negotiations </w:t>
      </w:r>
    </w:p>
    <w:p w14:paraId="205D78D3" w14:textId="77777777" w:rsidR="00417708" w:rsidRDefault="00417708" w:rsidP="00417708">
      <w:pPr>
        <w:pStyle w:val="NoSpacing"/>
        <w:numPr>
          <w:ilvl w:val="1"/>
          <w:numId w:val="2"/>
        </w:numPr>
      </w:pPr>
      <w:r>
        <w:t>Treating the consumer with dignity and respect</w:t>
      </w:r>
    </w:p>
    <w:p w14:paraId="3CF103FB" w14:textId="77777777" w:rsidR="00417708" w:rsidRDefault="00417708" w:rsidP="00417708">
      <w:pPr>
        <w:pStyle w:val="NoSpacing"/>
        <w:numPr>
          <w:ilvl w:val="2"/>
          <w:numId w:val="2"/>
        </w:numPr>
      </w:pPr>
      <w:r>
        <w:t>Building rapport</w:t>
      </w:r>
    </w:p>
    <w:p w14:paraId="0532790C" w14:textId="77777777" w:rsidR="00417708" w:rsidRDefault="00417708" w:rsidP="00417708">
      <w:pPr>
        <w:pStyle w:val="NoSpacing"/>
        <w:numPr>
          <w:ilvl w:val="2"/>
          <w:numId w:val="2"/>
        </w:numPr>
      </w:pPr>
      <w:r>
        <w:t>Showing empathy</w:t>
      </w:r>
    </w:p>
    <w:p w14:paraId="7C5A720F" w14:textId="77777777" w:rsidR="00417708" w:rsidRDefault="00417708" w:rsidP="00417708">
      <w:pPr>
        <w:pStyle w:val="NoSpacing"/>
        <w:numPr>
          <w:ilvl w:val="1"/>
          <w:numId w:val="2"/>
        </w:numPr>
      </w:pPr>
      <w:r>
        <w:t>Understanding the situation</w:t>
      </w:r>
    </w:p>
    <w:p w14:paraId="34D6AC33" w14:textId="77777777" w:rsidR="00417708" w:rsidRDefault="00417708" w:rsidP="00417708">
      <w:pPr>
        <w:pStyle w:val="NoSpacing"/>
        <w:numPr>
          <w:ilvl w:val="2"/>
          <w:numId w:val="2"/>
        </w:numPr>
      </w:pPr>
      <w:r>
        <w:t>Quickly determining the consumer’s circumstances and reason(s) for delinquency</w:t>
      </w:r>
    </w:p>
    <w:p w14:paraId="2A98F905" w14:textId="77777777" w:rsidR="00417708" w:rsidRDefault="00417708" w:rsidP="00417708">
      <w:pPr>
        <w:pStyle w:val="NoSpacing"/>
        <w:numPr>
          <w:ilvl w:val="1"/>
          <w:numId w:val="2"/>
        </w:numPr>
      </w:pPr>
      <w:r>
        <w:lastRenderedPageBreak/>
        <w:t>Giving the consumer a sense of control</w:t>
      </w:r>
    </w:p>
    <w:p w14:paraId="4995FC26" w14:textId="77777777" w:rsidR="00417708" w:rsidRDefault="00417708" w:rsidP="00417708">
      <w:pPr>
        <w:pStyle w:val="NoSpacing"/>
        <w:numPr>
          <w:ilvl w:val="2"/>
          <w:numId w:val="2"/>
        </w:numPr>
      </w:pPr>
      <w:r>
        <w:t>Offering multiple payment options based on consumer situation</w:t>
      </w:r>
    </w:p>
    <w:p w14:paraId="19F714A6" w14:textId="77777777" w:rsidR="00417708" w:rsidRDefault="00417708" w:rsidP="00417708">
      <w:pPr>
        <w:pStyle w:val="NoSpacing"/>
        <w:numPr>
          <w:ilvl w:val="3"/>
          <w:numId w:val="2"/>
        </w:numPr>
      </w:pPr>
      <w:r>
        <w:t xml:space="preserve">Balance in Full in one payment </w:t>
      </w:r>
    </w:p>
    <w:p w14:paraId="36DFEBCA" w14:textId="77777777" w:rsidR="00417708" w:rsidRDefault="00417708" w:rsidP="00417708">
      <w:pPr>
        <w:pStyle w:val="NoSpacing"/>
        <w:numPr>
          <w:ilvl w:val="3"/>
          <w:numId w:val="2"/>
        </w:numPr>
      </w:pPr>
      <w:r>
        <w:t>Down Payment followed by monthly payments</w:t>
      </w:r>
    </w:p>
    <w:p w14:paraId="476562CC" w14:textId="77777777" w:rsidR="00417708" w:rsidRDefault="00417708" w:rsidP="00417708">
      <w:pPr>
        <w:pStyle w:val="NoSpacing"/>
        <w:numPr>
          <w:ilvl w:val="3"/>
          <w:numId w:val="2"/>
        </w:numPr>
      </w:pPr>
      <w:r>
        <w:t xml:space="preserve">Settlement in one payment </w:t>
      </w:r>
    </w:p>
    <w:p w14:paraId="178C11B7" w14:textId="77777777" w:rsidR="00417708" w:rsidRDefault="00417708" w:rsidP="00417708">
      <w:pPr>
        <w:pStyle w:val="NoSpacing"/>
        <w:numPr>
          <w:ilvl w:val="3"/>
          <w:numId w:val="2"/>
        </w:numPr>
      </w:pPr>
      <w:r>
        <w:t>Multi-Part settlement</w:t>
      </w:r>
    </w:p>
    <w:p w14:paraId="739058A4" w14:textId="77777777" w:rsidR="00417708" w:rsidRDefault="00417708" w:rsidP="00417708">
      <w:pPr>
        <w:pStyle w:val="NoSpacing"/>
        <w:numPr>
          <w:ilvl w:val="4"/>
          <w:numId w:val="2"/>
        </w:numPr>
      </w:pPr>
      <w:r>
        <w:t>Must be justified by consumer circumstances and quantified with money source(s), etc.</w:t>
      </w:r>
    </w:p>
    <w:p w14:paraId="03A59081" w14:textId="77777777" w:rsidR="00417708" w:rsidRDefault="00417708" w:rsidP="00417708">
      <w:pPr>
        <w:pStyle w:val="NoSpacing"/>
        <w:numPr>
          <w:ilvl w:val="4"/>
          <w:numId w:val="2"/>
        </w:numPr>
      </w:pPr>
      <w:r>
        <w:t>Must be a higher % than the One Payment Settlement (to incentivize the one-time payment as a more lucrative option to the consumer)</w:t>
      </w:r>
    </w:p>
    <w:p w14:paraId="01A56156" w14:textId="77777777" w:rsidR="00417708" w:rsidRDefault="00417708" w:rsidP="00417708">
      <w:pPr>
        <w:pStyle w:val="NoSpacing"/>
        <w:numPr>
          <w:ilvl w:val="1"/>
          <w:numId w:val="2"/>
        </w:numPr>
      </w:pPr>
      <w:r>
        <w:t>Showing a path forward</w:t>
      </w:r>
    </w:p>
    <w:p w14:paraId="4093C3C2" w14:textId="77777777" w:rsidR="00417708" w:rsidRDefault="00417708" w:rsidP="00417708">
      <w:pPr>
        <w:pStyle w:val="NoSpacing"/>
        <w:numPr>
          <w:ilvl w:val="2"/>
          <w:numId w:val="2"/>
        </w:numPr>
      </w:pPr>
      <w:r>
        <w:t>Pitching the benefits of prioritizing the resolution of this particular debt</w:t>
      </w:r>
    </w:p>
    <w:p w14:paraId="7FC9C70F" w14:textId="77777777" w:rsidR="00417708" w:rsidRDefault="00417708" w:rsidP="00417708">
      <w:pPr>
        <w:pStyle w:val="NoSpacing"/>
        <w:numPr>
          <w:ilvl w:val="2"/>
          <w:numId w:val="2"/>
        </w:numPr>
      </w:pPr>
      <w:r>
        <w:t>Securing a payment arrangement that the consumer agrees with and can afford.</w:t>
      </w:r>
    </w:p>
    <w:p w14:paraId="7AE69118" w14:textId="77777777" w:rsidR="00417708" w:rsidRDefault="00417708" w:rsidP="00417708">
      <w:pPr>
        <w:pStyle w:val="NoSpacing"/>
        <w:numPr>
          <w:ilvl w:val="0"/>
          <w:numId w:val="2"/>
        </w:numPr>
      </w:pPr>
      <w:r>
        <w:t>One Contact Resolution</w:t>
      </w:r>
    </w:p>
    <w:p w14:paraId="7A592F4A" w14:textId="77777777" w:rsidR="00417708" w:rsidRDefault="00417708" w:rsidP="00417708">
      <w:pPr>
        <w:pStyle w:val="NoSpacing"/>
        <w:numPr>
          <w:ilvl w:val="1"/>
          <w:numId w:val="2"/>
        </w:numPr>
      </w:pPr>
      <w:r>
        <w:t>Analytics have shown that if a consumer is contacted and payment arrangements are not discussed, there is only a 6% chance of ever contacting that consumer again.</w:t>
      </w:r>
    </w:p>
    <w:p w14:paraId="4A78278A" w14:textId="77777777" w:rsidR="00417708" w:rsidRDefault="00417708" w:rsidP="00417708">
      <w:pPr>
        <w:pStyle w:val="NoSpacing"/>
        <w:numPr>
          <w:ilvl w:val="0"/>
          <w:numId w:val="2"/>
        </w:numPr>
      </w:pPr>
      <w:r>
        <w:t>Second-Voice</w:t>
      </w:r>
    </w:p>
    <w:p w14:paraId="7E91A422" w14:textId="77777777" w:rsidR="00417708" w:rsidRDefault="00417708" w:rsidP="00417708">
      <w:pPr>
        <w:pStyle w:val="NoSpacing"/>
        <w:numPr>
          <w:ilvl w:val="1"/>
          <w:numId w:val="2"/>
        </w:numPr>
      </w:pPr>
      <w:r>
        <w:t xml:space="preserve">The collector must transfer the call to a supervisor if a payment arrangement is not committed to or secured on the call. </w:t>
      </w:r>
    </w:p>
    <w:p w14:paraId="3452A5BD" w14:textId="77777777" w:rsidR="00417708" w:rsidRDefault="00417708" w:rsidP="00417708">
      <w:pPr>
        <w:pStyle w:val="NoSpacing"/>
        <w:rPr>
          <w:b/>
          <w:bCs/>
        </w:rPr>
      </w:pPr>
    </w:p>
    <w:p w14:paraId="61AD0106" w14:textId="77777777" w:rsidR="00417708" w:rsidRPr="007443A5" w:rsidRDefault="00417708" w:rsidP="00417708">
      <w:pPr>
        <w:pStyle w:val="NoSpacing"/>
        <w:rPr>
          <w:b/>
          <w:bCs/>
        </w:rPr>
      </w:pPr>
      <w:r w:rsidRPr="007443A5">
        <w:rPr>
          <w:b/>
          <w:bCs/>
        </w:rPr>
        <w:t>Payment Arrangements</w:t>
      </w:r>
    </w:p>
    <w:p w14:paraId="450D3A51" w14:textId="77777777" w:rsidR="00417708" w:rsidRDefault="00417708" w:rsidP="00417708">
      <w:pPr>
        <w:pStyle w:val="NoSpacing"/>
        <w:numPr>
          <w:ilvl w:val="0"/>
          <w:numId w:val="2"/>
        </w:numPr>
      </w:pPr>
      <w:r>
        <w:t xml:space="preserve">Payment Rules </w:t>
      </w:r>
    </w:p>
    <w:p w14:paraId="278307EC" w14:textId="77777777" w:rsidR="00417708" w:rsidRDefault="00417708" w:rsidP="00417708">
      <w:pPr>
        <w:pStyle w:val="NoSpacing"/>
        <w:numPr>
          <w:ilvl w:val="1"/>
          <w:numId w:val="2"/>
        </w:numPr>
      </w:pPr>
      <w:r>
        <w:t>Duration (i.e., number of payments/months to resolve)</w:t>
      </w:r>
    </w:p>
    <w:p w14:paraId="68D3C20C" w14:textId="77777777" w:rsidR="00417708" w:rsidRDefault="00417708" w:rsidP="00417708">
      <w:pPr>
        <w:pStyle w:val="NoSpacing"/>
        <w:numPr>
          <w:ilvl w:val="2"/>
          <w:numId w:val="2"/>
        </w:numPr>
      </w:pPr>
      <w:r>
        <w:t>Collectors should be pitching a larger down payment if securing a monthly payment arrangement.</w:t>
      </w:r>
    </w:p>
    <w:p w14:paraId="1EC833FB" w14:textId="77777777" w:rsidR="00417708" w:rsidRDefault="00417708" w:rsidP="00417708">
      <w:pPr>
        <w:pStyle w:val="NoSpacing"/>
        <w:numPr>
          <w:ilvl w:val="1"/>
          <w:numId w:val="2"/>
        </w:numPr>
      </w:pPr>
      <w:r>
        <w:t xml:space="preserve">Pitching tax refunds year-round </w:t>
      </w:r>
    </w:p>
    <w:p w14:paraId="017EF410" w14:textId="77777777" w:rsidR="00417708" w:rsidRDefault="00417708" w:rsidP="00417708">
      <w:pPr>
        <w:pStyle w:val="NoSpacing"/>
        <w:numPr>
          <w:ilvl w:val="2"/>
          <w:numId w:val="2"/>
        </w:numPr>
      </w:pPr>
      <w:r>
        <w:t>Collectors should not secure monthly payments of the same amount through the following tax season without asking about a tax refund and discussing a higher payment at tax time with that refund.</w:t>
      </w:r>
    </w:p>
    <w:p w14:paraId="7E65AF0C" w14:textId="77777777" w:rsidR="00417708" w:rsidRDefault="00417708" w:rsidP="00417708">
      <w:pPr>
        <w:pStyle w:val="NoSpacing"/>
        <w:numPr>
          <w:ilvl w:val="1"/>
          <w:numId w:val="2"/>
        </w:numPr>
      </w:pPr>
      <w:r>
        <w:t xml:space="preserve">Average Payment Size </w:t>
      </w:r>
    </w:p>
    <w:p w14:paraId="1DF96A21" w14:textId="77777777" w:rsidR="00417708" w:rsidRDefault="00417708" w:rsidP="00417708">
      <w:pPr>
        <w:pStyle w:val="NoSpacing"/>
        <w:numPr>
          <w:ilvl w:val="2"/>
          <w:numId w:val="2"/>
        </w:numPr>
      </w:pPr>
      <w:r>
        <w:t>This is a Key Indicator of effective negotiations and adherence to payment rules.</w:t>
      </w:r>
    </w:p>
    <w:p w14:paraId="22C3B7E2" w14:textId="0469424B" w:rsidR="00F63251" w:rsidRDefault="00F63251" w:rsidP="00F63251">
      <w:pPr>
        <w:pStyle w:val="NoSpacing"/>
        <w:tabs>
          <w:tab w:val="left" w:pos="5775"/>
        </w:tabs>
        <w:rPr>
          <w:sz w:val="22"/>
          <w:szCs w:val="22"/>
        </w:rPr>
      </w:pPr>
      <w:r>
        <w:rPr>
          <w:sz w:val="22"/>
          <w:szCs w:val="22"/>
        </w:rPr>
        <w:t xml:space="preserve"> </w:t>
      </w:r>
    </w:p>
    <w:p w14:paraId="383B9AE8" w14:textId="77777777" w:rsidR="006B10E6" w:rsidRDefault="006B10E6" w:rsidP="00B43E51">
      <w:pPr>
        <w:pStyle w:val="NoSpacing"/>
        <w:rPr>
          <w:sz w:val="22"/>
          <w:szCs w:val="22"/>
        </w:rPr>
      </w:pPr>
    </w:p>
    <w:p w14:paraId="1702ACF5" w14:textId="77777777" w:rsidR="006B10E6" w:rsidRDefault="006B10E6" w:rsidP="006B10E6">
      <w:pPr>
        <w:pStyle w:val="NoSpacing"/>
        <w:jc w:val="center"/>
        <w:rPr>
          <w:sz w:val="22"/>
          <w:szCs w:val="22"/>
        </w:rPr>
      </w:pPr>
    </w:p>
    <w:p w14:paraId="12EBEAD7" w14:textId="62A27583" w:rsidR="00583032" w:rsidRDefault="00583032" w:rsidP="006B10E6">
      <w:pPr>
        <w:pStyle w:val="NoSpacing"/>
        <w:jc w:val="center"/>
        <w:rPr>
          <w:sz w:val="22"/>
          <w:szCs w:val="22"/>
        </w:rPr>
      </w:pPr>
    </w:p>
    <w:p w14:paraId="43E5ACB2" w14:textId="77777777" w:rsidR="00583032" w:rsidRPr="003372B1" w:rsidRDefault="00583032" w:rsidP="00B43E51">
      <w:pPr>
        <w:pStyle w:val="NoSpacing"/>
        <w:rPr>
          <w:sz w:val="22"/>
          <w:szCs w:val="22"/>
        </w:rPr>
      </w:pPr>
    </w:p>
    <w:p w14:paraId="2293DA07" w14:textId="77777777" w:rsidR="007A7E2C" w:rsidRDefault="007A7E2C" w:rsidP="007A7E2C">
      <w:pPr>
        <w:pStyle w:val="NoSpacing"/>
        <w:rPr>
          <w:noProof/>
        </w:rPr>
      </w:pPr>
    </w:p>
    <w:p w14:paraId="07C97209" w14:textId="77777777" w:rsidR="00AE136D" w:rsidRDefault="00AE136D" w:rsidP="007A7E2C">
      <w:pPr>
        <w:pStyle w:val="NoSpacing"/>
        <w:rPr>
          <w:rFonts w:ascii="Aptos" w:eastAsiaTheme="minorEastAsia" w:hAnsi="Aptos" w:cs="Aptos"/>
          <w:noProof/>
          <w:color w:val="212121"/>
          <w:kern w:val="0"/>
          <w:sz w:val="22"/>
          <w:szCs w:val="22"/>
          <w14:ligatures w14:val="none"/>
        </w:rPr>
      </w:pPr>
    </w:p>
    <w:p w14:paraId="4312225C" w14:textId="77777777" w:rsidR="000B71BF" w:rsidRDefault="000B71BF" w:rsidP="007A7E2C">
      <w:pPr>
        <w:pStyle w:val="NoSpacing"/>
        <w:rPr>
          <w:rFonts w:ascii="Aptos" w:eastAsiaTheme="minorEastAsia" w:hAnsi="Aptos" w:cs="Aptos"/>
          <w:noProof/>
          <w:color w:val="212121"/>
          <w:kern w:val="0"/>
          <w:sz w:val="22"/>
          <w:szCs w:val="22"/>
          <w14:ligatures w14:val="none"/>
        </w:rPr>
      </w:pPr>
    </w:p>
    <w:p w14:paraId="41BEA7F0"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35305A2E"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7901F8E0"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64A753F5"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569FAF56"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3D6D056B"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2E87F54B"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38036AE0"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727F82C6"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54658CCA"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127E93B7"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142D00D3"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1DB838A8"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36CDFD03"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43930282"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4268E519"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558507CE" w14:textId="77777777" w:rsidR="009D167D" w:rsidRDefault="009D167D" w:rsidP="007A7E2C">
      <w:pPr>
        <w:pStyle w:val="NoSpacing"/>
        <w:rPr>
          <w:rFonts w:ascii="Aptos" w:eastAsiaTheme="minorEastAsia" w:hAnsi="Aptos" w:cs="Aptos"/>
          <w:noProof/>
          <w:color w:val="212121"/>
          <w:kern w:val="0"/>
          <w:sz w:val="22"/>
          <w:szCs w:val="22"/>
          <w14:ligatures w14:val="none"/>
        </w:rPr>
      </w:pPr>
    </w:p>
    <w:p w14:paraId="2138D6CF" w14:textId="77777777" w:rsidR="00D216B3" w:rsidRDefault="00D216B3" w:rsidP="00D216B3">
      <w:pPr>
        <w:pStyle w:val="NoSpacing"/>
        <w:jc w:val="center"/>
        <w:rPr>
          <w:sz w:val="20"/>
          <w:szCs w:val="20"/>
        </w:rPr>
      </w:pPr>
      <w:r>
        <w:rPr>
          <w:sz w:val="20"/>
          <w:szCs w:val="20"/>
        </w:rPr>
        <w:t>Matt Dion</w:t>
      </w:r>
    </w:p>
    <w:p w14:paraId="1C957421" w14:textId="410B13D5" w:rsidR="00D216B3" w:rsidRDefault="00D216B3" w:rsidP="00D216B3">
      <w:pPr>
        <w:pStyle w:val="NoSpacing"/>
        <w:jc w:val="center"/>
        <w:rPr>
          <w:sz w:val="20"/>
          <w:szCs w:val="20"/>
        </w:rPr>
      </w:pPr>
      <w:r>
        <w:rPr>
          <w:sz w:val="20"/>
          <w:szCs w:val="20"/>
        </w:rPr>
        <w:t>Chief Operating Officer/Chief Compliance Officer | </w:t>
      </w:r>
      <w:r>
        <w:rPr>
          <w:b/>
          <w:bCs/>
          <w:sz w:val="20"/>
          <w:szCs w:val="20"/>
        </w:rPr>
        <w:t>Nexa Asset Acquisitions, LLC</w:t>
      </w:r>
    </w:p>
    <w:p w14:paraId="2C94E0EB" w14:textId="77777777" w:rsidR="00D216B3" w:rsidRPr="00A20828" w:rsidRDefault="00D216B3" w:rsidP="00D216B3">
      <w:pPr>
        <w:pStyle w:val="NoSpacing"/>
        <w:jc w:val="center"/>
        <w:rPr>
          <w:rStyle w:val="Hyperlink"/>
          <w:color w:val="auto"/>
          <w:sz w:val="20"/>
          <w:szCs w:val="20"/>
        </w:rPr>
      </w:pPr>
      <w:r w:rsidRPr="00A20828">
        <w:rPr>
          <w:sz w:val="20"/>
          <w:szCs w:val="20"/>
        </w:rPr>
        <w:t>mdion@ne</w:t>
      </w:r>
      <w:r>
        <w:rPr>
          <w:sz w:val="20"/>
          <w:szCs w:val="20"/>
        </w:rPr>
        <w:t>xaportfoliostrategies.com</w:t>
      </w:r>
    </w:p>
    <w:p w14:paraId="28FF3CF1" w14:textId="77777777" w:rsidR="000B71BF" w:rsidRPr="00862AD0" w:rsidRDefault="000B71BF" w:rsidP="0022706D">
      <w:pPr>
        <w:jc w:val="both"/>
        <w:rPr>
          <w:rFonts w:ascii="Aptos" w:eastAsiaTheme="minorEastAsia" w:hAnsi="Aptos" w:cs="Aptos"/>
          <w:noProof/>
          <w:color w:val="212121"/>
          <w:kern w:val="0"/>
          <w:sz w:val="22"/>
          <w:szCs w:val="22"/>
          <w14:ligatures w14:val="none"/>
        </w:rPr>
      </w:pPr>
    </w:p>
    <w:p w14:paraId="27A36E03" w14:textId="7E3E49FC" w:rsidR="0022706D" w:rsidRPr="002311C3" w:rsidRDefault="0022706D" w:rsidP="0022706D">
      <w:pPr>
        <w:jc w:val="both"/>
        <w:rPr>
          <w:rFonts w:ascii="Aptos" w:eastAsiaTheme="minorEastAsia" w:hAnsi="Aptos" w:cs="Aptos"/>
          <w:noProof/>
          <w:kern w:val="0"/>
          <w:sz w:val="15"/>
          <w:szCs w:val="15"/>
          <w14:ligatures w14:val="none"/>
        </w:rPr>
      </w:pPr>
      <w:r w:rsidRPr="002311C3">
        <w:rPr>
          <w:rFonts w:ascii="Aptos" w:eastAsiaTheme="minorEastAsia" w:hAnsi="Aptos" w:cs="Aptos"/>
          <w:noProof/>
          <w:color w:val="212121"/>
          <w:kern w:val="0"/>
          <w:sz w:val="15"/>
          <w:szCs w:val="15"/>
          <w14:ligatures w14:val="none"/>
        </w:rPr>
        <w:t xml:space="preserve">DISCLAIMER: Past performance may not be indicative of future results. Therefore, no current or prospective client should assume that future performance of any specific investment or investment strategy (including the investments and/or investment strategies undertaken by Nexa </w:t>
      </w:r>
      <w:r w:rsidR="00937772">
        <w:rPr>
          <w:rFonts w:ascii="Aptos" w:eastAsiaTheme="minorEastAsia" w:hAnsi="Aptos" w:cs="Aptos"/>
          <w:noProof/>
          <w:color w:val="212121"/>
          <w:kern w:val="0"/>
          <w:sz w:val="15"/>
          <w:szCs w:val="15"/>
          <w14:ligatures w14:val="none"/>
        </w:rPr>
        <w:t>Asset Acquisitions</w:t>
      </w:r>
      <w:r w:rsidRPr="002311C3">
        <w:rPr>
          <w:rFonts w:ascii="Aptos" w:eastAsiaTheme="minorEastAsia" w:hAnsi="Aptos" w:cs="Aptos"/>
          <w:noProof/>
          <w:color w:val="212121"/>
          <w:kern w:val="0"/>
          <w:sz w:val="15"/>
          <w:szCs w:val="15"/>
          <w14:ligatures w14:val="none"/>
        </w:rPr>
        <w:t xml:space="preserve">, LLC) made reference to directly or indirectly by Nexa </w:t>
      </w:r>
      <w:r w:rsidR="00937772">
        <w:rPr>
          <w:rFonts w:ascii="Aptos" w:eastAsiaTheme="minorEastAsia" w:hAnsi="Aptos" w:cs="Aptos"/>
          <w:noProof/>
          <w:color w:val="212121"/>
          <w:kern w:val="0"/>
          <w:sz w:val="15"/>
          <w:szCs w:val="15"/>
          <w14:ligatures w14:val="none"/>
        </w:rPr>
        <w:t>Asset Acquisitions</w:t>
      </w:r>
      <w:r w:rsidRPr="002311C3">
        <w:rPr>
          <w:rFonts w:ascii="Aptos" w:eastAsiaTheme="minorEastAsia" w:hAnsi="Aptos" w:cs="Aptos"/>
          <w:noProof/>
          <w:color w:val="212121"/>
          <w:kern w:val="0"/>
          <w:sz w:val="15"/>
          <w:szCs w:val="15"/>
          <w14:ligatures w14:val="none"/>
        </w:rPr>
        <w:t>, LLC in its website, or indirectly via a link to an unaffiliated third-party website, will be profitable or equal the corresponding indicated performance level(s). Different types of investments involve varying degrees of risk, and there can be no assurance that any specific investment will either be suitable or profitable for a client or prospective client’s investment portfolio. Historical performance results for investment indices and/or categories generally do not reflect the deduction of transaction and/or custodial charges, the deduction of an investment management fee, nor the impact of taxes, the incurrence of which would have the effect of decreasing historical performance results.</w:t>
      </w:r>
    </w:p>
    <w:p w14:paraId="0E622C0B" w14:textId="26D4ACF0" w:rsidR="0022706D" w:rsidRPr="0022706D" w:rsidRDefault="0022706D" w:rsidP="0022706D">
      <w:pPr>
        <w:jc w:val="both"/>
        <w:rPr>
          <w:rFonts w:ascii="Aptos" w:eastAsiaTheme="minorEastAsia" w:hAnsi="Aptos" w:cs="Aptos"/>
          <w:noProof/>
          <w:kern w:val="0"/>
          <w:sz w:val="15"/>
          <w:szCs w:val="15"/>
          <w14:ligatures w14:val="none"/>
        </w:rPr>
      </w:pPr>
      <w:r w:rsidRPr="002311C3">
        <w:rPr>
          <w:rFonts w:ascii="Aptos" w:eastAsiaTheme="minorEastAsia" w:hAnsi="Aptos" w:cs="Aptos"/>
          <w:noProof/>
          <w:color w:val="212121"/>
          <w:kern w:val="0"/>
          <w:sz w:val="15"/>
          <w:szCs w:val="15"/>
          <w14:ligatures w14:val="none"/>
        </w:rPr>
        <w:t xml:space="preserve">Please remember that different types of investments involve varying degrees of risk, and there can be no assurance that the future of any specific investment or investment strategy (including those undertaken by Nexa </w:t>
      </w:r>
      <w:r w:rsidR="00EB0A3F">
        <w:rPr>
          <w:rFonts w:ascii="Aptos" w:eastAsiaTheme="minorEastAsia" w:hAnsi="Aptos" w:cs="Aptos"/>
          <w:noProof/>
          <w:color w:val="212121"/>
          <w:kern w:val="0"/>
          <w:sz w:val="15"/>
          <w:szCs w:val="15"/>
          <w14:ligatures w14:val="none"/>
        </w:rPr>
        <w:t>Asset Acqusitions</w:t>
      </w:r>
      <w:r w:rsidRPr="002311C3">
        <w:rPr>
          <w:rFonts w:ascii="Aptos" w:eastAsiaTheme="minorEastAsia" w:hAnsi="Aptos" w:cs="Aptos"/>
          <w:noProof/>
          <w:color w:val="212121"/>
          <w:kern w:val="0"/>
          <w:sz w:val="15"/>
          <w:szCs w:val="15"/>
          <w14:ligatures w14:val="none"/>
        </w:rPr>
        <w:t>, LLC) will be profitable or equal any historical performance level(s).</w:t>
      </w:r>
    </w:p>
    <w:sectPr w:rsidR="0022706D" w:rsidRPr="0022706D" w:rsidSect="0022706D">
      <w:foot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765E" w14:textId="77777777" w:rsidR="003636F7" w:rsidRDefault="003636F7" w:rsidP="003967FB">
      <w:pPr>
        <w:spacing w:after="0" w:line="240" w:lineRule="auto"/>
      </w:pPr>
      <w:r>
        <w:separator/>
      </w:r>
    </w:p>
  </w:endnote>
  <w:endnote w:type="continuationSeparator" w:id="0">
    <w:p w14:paraId="4B074208" w14:textId="77777777" w:rsidR="003636F7" w:rsidRDefault="003636F7" w:rsidP="0039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222113"/>
      <w:docPartObj>
        <w:docPartGallery w:val="Page Numbers (Bottom of Page)"/>
        <w:docPartUnique/>
      </w:docPartObj>
    </w:sdtPr>
    <w:sdtEndPr>
      <w:rPr>
        <w:noProof/>
      </w:rPr>
    </w:sdtEndPr>
    <w:sdtContent>
      <w:p w14:paraId="3FD82088" w14:textId="682C9F76" w:rsidR="003967FB" w:rsidRDefault="003967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3E33FE" w14:textId="77777777" w:rsidR="003967FB" w:rsidRDefault="00396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2B9D" w14:textId="77777777" w:rsidR="003636F7" w:rsidRDefault="003636F7" w:rsidP="003967FB">
      <w:pPr>
        <w:spacing w:after="0" w:line="240" w:lineRule="auto"/>
      </w:pPr>
      <w:r>
        <w:separator/>
      </w:r>
    </w:p>
  </w:footnote>
  <w:footnote w:type="continuationSeparator" w:id="0">
    <w:p w14:paraId="2444B31C" w14:textId="77777777" w:rsidR="003636F7" w:rsidRDefault="003636F7" w:rsidP="00396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916"/>
    <w:multiLevelType w:val="hybridMultilevel"/>
    <w:tmpl w:val="67BC02C8"/>
    <w:lvl w:ilvl="0" w:tplc="A218F2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47645"/>
    <w:multiLevelType w:val="hybridMultilevel"/>
    <w:tmpl w:val="BC8E4D58"/>
    <w:lvl w:ilvl="0" w:tplc="C486BD4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B1B32"/>
    <w:multiLevelType w:val="multilevel"/>
    <w:tmpl w:val="2D267D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8027F5"/>
    <w:multiLevelType w:val="hybridMultilevel"/>
    <w:tmpl w:val="0DE2DF76"/>
    <w:lvl w:ilvl="0" w:tplc="FCCA728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C6205"/>
    <w:multiLevelType w:val="hybridMultilevel"/>
    <w:tmpl w:val="D4DEC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B177D1"/>
    <w:multiLevelType w:val="hybridMultilevel"/>
    <w:tmpl w:val="45C2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31D5B"/>
    <w:multiLevelType w:val="hybridMultilevel"/>
    <w:tmpl w:val="2772B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F5DBF"/>
    <w:multiLevelType w:val="hybridMultilevel"/>
    <w:tmpl w:val="B55E6EFA"/>
    <w:lvl w:ilvl="0" w:tplc="D1FA109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6752F"/>
    <w:multiLevelType w:val="hybridMultilevel"/>
    <w:tmpl w:val="F140A6E4"/>
    <w:lvl w:ilvl="0" w:tplc="7B7CC1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2145F"/>
    <w:multiLevelType w:val="hybridMultilevel"/>
    <w:tmpl w:val="8108891C"/>
    <w:lvl w:ilvl="0" w:tplc="FCCA728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D47F28"/>
    <w:multiLevelType w:val="hybridMultilevel"/>
    <w:tmpl w:val="0BE6EA7A"/>
    <w:lvl w:ilvl="0" w:tplc="15BEA06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D1D3A"/>
    <w:multiLevelType w:val="multilevel"/>
    <w:tmpl w:val="BC9A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25743F"/>
    <w:multiLevelType w:val="hybridMultilevel"/>
    <w:tmpl w:val="CE147F32"/>
    <w:lvl w:ilvl="0" w:tplc="A23430C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55229"/>
    <w:multiLevelType w:val="multilevel"/>
    <w:tmpl w:val="316668F4"/>
    <w:lvl w:ilvl="0">
      <w:start w:val="1"/>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03464232">
    <w:abstractNumId w:val="3"/>
  </w:num>
  <w:num w:numId="2" w16cid:durableId="1877697117">
    <w:abstractNumId w:val="12"/>
  </w:num>
  <w:num w:numId="3" w16cid:durableId="473839410">
    <w:abstractNumId w:val="8"/>
  </w:num>
  <w:num w:numId="4" w16cid:durableId="1880043311">
    <w:abstractNumId w:val="0"/>
  </w:num>
  <w:num w:numId="5" w16cid:durableId="1692340228">
    <w:abstractNumId w:val="6"/>
  </w:num>
  <w:num w:numId="6" w16cid:durableId="1831679353">
    <w:abstractNumId w:val="5"/>
  </w:num>
  <w:num w:numId="7" w16cid:durableId="1403216177">
    <w:abstractNumId w:val="4"/>
  </w:num>
  <w:num w:numId="8" w16cid:durableId="1079327943">
    <w:abstractNumId w:val="2"/>
  </w:num>
  <w:num w:numId="9" w16cid:durableId="362829468">
    <w:abstractNumId w:val="7"/>
  </w:num>
  <w:num w:numId="10" w16cid:durableId="780147769">
    <w:abstractNumId w:val="1"/>
  </w:num>
  <w:num w:numId="11" w16cid:durableId="706294293">
    <w:abstractNumId w:val="10"/>
  </w:num>
  <w:num w:numId="12" w16cid:durableId="1781873261">
    <w:abstractNumId w:val="13"/>
  </w:num>
  <w:num w:numId="13" w16cid:durableId="531039574">
    <w:abstractNumId w:val="9"/>
  </w:num>
  <w:num w:numId="14" w16cid:durableId="1019309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6D"/>
    <w:rsid w:val="0001237F"/>
    <w:rsid w:val="00016CAB"/>
    <w:rsid w:val="000324AB"/>
    <w:rsid w:val="0003628B"/>
    <w:rsid w:val="00044E24"/>
    <w:rsid w:val="00045935"/>
    <w:rsid w:val="0005458F"/>
    <w:rsid w:val="00056213"/>
    <w:rsid w:val="00061407"/>
    <w:rsid w:val="00062CDA"/>
    <w:rsid w:val="000711FB"/>
    <w:rsid w:val="000744E7"/>
    <w:rsid w:val="000774B8"/>
    <w:rsid w:val="00077821"/>
    <w:rsid w:val="00083D71"/>
    <w:rsid w:val="00091D29"/>
    <w:rsid w:val="000969A4"/>
    <w:rsid w:val="000B71BF"/>
    <w:rsid w:val="000C3E70"/>
    <w:rsid w:val="000E3377"/>
    <w:rsid w:val="000F21F3"/>
    <w:rsid w:val="0011211B"/>
    <w:rsid w:val="001152AC"/>
    <w:rsid w:val="00115DA5"/>
    <w:rsid w:val="00121191"/>
    <w:rsid w:val="001325BE"/>
    <w:rsid w:val="001335A1"/>
    <w:rsid w:val="00140797"/>
    <w:rsid w:val="001538A4"/>
    <w:rsid w:val="001563DD"/>
    <w:rsid w:val="00156DBF"/>
    <w:rsid w:val="00165419"/>
    <w:rsid w:val="00167F15"/>
    <w:rsid w:val="00175A97"/>
    <w:rsid w:val="00177DFA"/>
    <w:rsid w:val="0018258F"/>
    <w:rsid w:val="001849F1"/>
    <w:rsid w:val="001A37D6"/>
    <w:rsid w:val="001A6E3F"/>
    <w:rsid w:val="001D0DAD"/>
    <w:rsid w:val="001D1534"/>
    <w:rsid w:val="001D596E"/>
    <w:rsid w:val="001F6F9C"/>
    <w:rsid w:val="0020694D"/>
    <w:rsid w:val="002112B6"/>
    <w:rsid w:val="00214FAC"/>
    <w:rsid w:val="0022706D"/>
    <w:rsid w:val="0023091A"/>
    <w:rsid w:val="002321B4"/>
    <w:rsid w:val="002333B8"/>
    <w:rsid w:val="002404D6"/>
    <w:rsid w:val="002518AC"/>
    <w:rsid w:val="00254985"/>
    <w:rsid w:val="00260055"/>
    <w:rsid w:val="00270151"/>
    <w:rsid w:val="00275136"/>
    <w:rsid w:val="002A7D6A"/>
    <w:rsid w:val="002B074E"/>
    <w:rsid w:val="002C1D4C"/>
    <w:rsid w:val="002C6B21"/>
    <w:rsid w:val="002D1E13"/>
    <w:rsid w:val="002D5BEA"/>
    <w:rsid w:val="002E1666"/>
    <w:rsid w:val="002E2DA5"/>
    <w:rsid w:val="002E6618"/>
    <w:rsid w:val="002F5C9E"/>
    <w:rsid w:val="0031064C"/>
    <w:rsid w:val="003145BC"/>
    <w:rsid w:val="0032319C"/>
    <w:rsid w:val="00326520"/>
    <w:rsid w:val="003372B1"/>
    <w:rsid w:val="0034270D"/>
    <w:rsid w:val="003573F1"/>
    <w:rsid w:val="003636F7"/>
    <w:rsid w:val="0036751D"/>
    <w:rsid w:val="0037194D"/>
    <w:rsid w:val="00371BFE"/>
    <w:rsid w:val="003749EA"/>
    <w:rsid w:val="00380FF6"/>
    <w:rsid w:val="003967FB"/>
    <w:rsid w:val="003A3D14"/>
    <w:rsid w:val="003A4EB7"/>
    <w:rsid w:val="003A5053"/>
    <w:rsid w:val="003A7CCD"/>
    <w:rsid w:val="003B326F"/>
    <w:rsid w:val="003B6EEF"/>
    <w:rsid w:val="003D06EB"/>
    <w:rsid w:val="003D0D34"/>
    <w:rsid w:val="003D42B0"/>
    <w:rsid w:val="003E0970"/>
    <w:rsid w:val="003F510C"/>
    <w:rsid w:val="00400E74"/>
    <w:rsid w:val="00402F3D"/>
    <w:rsid w:val="004035E7"/>
    <w:rsid w:val="00406119"/>
    <w:rsid w:val="004067FC"/>
    <w:rsid w:val="004073F6"/>
    <w:rsid w:val="00410C54"/>
    <w:rsid w:val="00417708"/>
    <w:rsid w:val="00442305"/>
    <w:rsid w:val="004453CF"/>
    <w:rsid w:val="0045059F"/>
    <w:rsid w:val="0047358B"/>
    <w:rsid w:val="0048461E"/>
    <w:rsid w:val="004910BD"/>
    <w:rsid w:val="00492A05"/>
    <w:rsid w:val="00496D42"/>
    <w:rsid w:val="004B0537"/>
    <w:rsid w:val="004D7784"/>
    <w:rsid w:val="004E2DDB"/>
    <w:rsid w:val="004F3828"/>
    <w:rsid w:val="004F3981"/>
    <w:rsid w:val="00510E93"/>
    <w:rsid w:val="005206EE"/>
    <w:rsid w:val="00522710"/>
    <w:rsid w:val="00531EE4"/>
    <w:rsid w:val="005361B6"/>
    <w:rsid w:val="00541B9B"/>
    <w:rsid w:val="00542C24"/>
    <w:rsid w:val="0055504B"/>
    <w:rsid w:val="00563DCE"/>
    <w:rsid w:val="00583032"/>
    <w:rsid w:val="00591F3F"/>
    <w:rsid w:val="005A1101"/>
    <w:rsid w:val="005B4A7D"/>
    <w:rsid w:val="005E5E12"/>
    <w:rsid w:val="005F00D6"/>
    <w:rsid w:val="005F1B14"/>
    <w:rsid w:val="006007D5"/>
    <w:rsid w:val="006011DB"/>
    <w:rsid w:val="00601470"/>
    <w:rsid w:val="006268B3"/>
    <w:rsid w:val="0063119C"/>
    <w:rsid w:val="00636D37"/>
    <w:rsid w:val="00637A30"/>
    <w:rsid w:val="0064471E"/>
    <w:rsid w:val="006647FC"/>
    <w:rsid w:val="00667379"/>
    <w:rsid w:val="00671E42"/>
    <w:rsid w:val="00685789"/>
    <w:rsid w:val="006919CB"/>
    <w:rsid w:val="006B10E6"/>
    <w:rsid w:val="006B265D"/>
    <w:rsid w:val="006B786A"/>
    <w:rsid w:val="006D0837"/>
    <w:rsid w:val="006D3951"/>
    <w:rsid w:val="006D5264"/>
    <w:rsid w:val="00713F2C"/>
    <w:rsid w:val="00715A4B"/>
    <w:rsid w:val="00720CC1"/>
    <w:rsid w:val="00742F92"/>
    <w:rsid w:val="00751C00"/>
    <w:rsid w:val="0076125A"/>
    <w:rsid w:val="00772851"/>
    <w:rsid w:val="00773706"/>
    <w:rsid w:val="00777B80"/>
    <w:rsid w:val="00796B8E"/>
    <w:rsid w:val="007A4D3D"/>
    <w:rsid w:val="007A4E92"/>
    <w:rsid w:val="007A7E2C"/>
    <w:rsid w:val="007B1939"/>
    <w:rsid w:val="007B2315"/>
    <w:rsid w:val="007B3726"/>
    <w:rsid w:val="007B43B2"/>
    <w:rsid w:val="007B5113"/>
    <w:rsid w:val="007C3200"/>
    <w:rsid w:val="007E51D1"/>
    <w:rsid w:val="007F4A7B"/>
    <w:rsid w:val="00801E21"/>
    <w:rsid w:val="00807B0F"/>
    <w:rsid w:val="00812C09"/>
    <w:rsid w:val="0081584E"/>
    <w:rsid w:val="008213BC"/>
    <w:rsid w:val="00834C3B"/>
    <w:rsid w:val="00835626"/>
    <w:rsid w:val="008418E4"/>
    <w:rsid w:val="00862AD0"/>
    <w:rsid w:val="0086568C"/>
    <w:rsid w:val="00871117"/>
    <w:rsid w:val="00882B69"/>
    <w:rsid w:val="00883001"/>
    <w:rsid w:val="00884050"/>
    <w:rsid w:val="00884635"/>
    <w:rsid w:val="00884B23"/>
    <w:rsid w:val="008861AA"/>
    <w:rsid w:val="008944DA"/>
    <w:rsid w:val="008A2252"/>
    <w:rsid w:val="008A47F2"/>
    <w:rsid w:val="008B5A03"/>
    <w:rsid w:val="008B798E"/>
    <w:rsid w:val="008C155C"/>
    <w:rsid w:val="008C2B98"/>
    <w:rsid w:val="008D2FC6"/>
    <w:rsid w:val="008E0D21"/>
    <w:rsid w:val="008E4661"/>
    <w:rsid w:val="008F2410"/>
    <w:rsid w:val="008F4944"/>
    <w:rsid w:val="008F6033"/>
    <w:rsid w:val="00901246"/>
    <w:rsid w:val="009052DB"/>
    <w:rsid w:val="009074F4"/>
    <w:rsid w:val="009105A5"/>
    <w:rsid w:val="00910C06"/>
    <w:rsid w:val="009129EF"/>
    <w:rsid w:val="00913EBB"/>
    <w:rsid w:val="00916C08"/>
    <w:rsid w:val="0092078C"/>
    <w:rsid w:val="00923C48"/>
    <w:rsid w:val="00937772"/>
    <w:rsid w:val="00956008"/>
    <w:rsid w:val="00962A6C"/>
    <w:rsid w:val="00985059"/>
    <w:rsid w:val="00997946"/>
    <w:rsid w:val="009D0E59"/>
    <w:rsid w:val="009D167D"/>
    <w:rsid w:val="009E451F"/>
    <w:rsid w:val="009E60C2"/>
    <w:rsid w:val="00A10212"/>
    <w:rsid w:val="00A10C17"/>
    <w:rsid w:val="00A36625"/>
    <w:rsid w:val="00A36FE7"/>
    <w:rsid w:val="00A37E8F"/>
    <w:rsid w:val="00A4510A"/>
    <w:rsid w:val="00A625ED"/>
    <w:rsid w:val="00A71DAE"/>
    <w:rsid w:val="00A734FB"/>
    <w:rsid w:val="00A9210E"/>
    <w:rsid w:val="00AA5BD8"/>
    <w:rsid w:val="00AA5C4F"/>
    <w:rsid w:val="00AB40B1"/>
    <w:rsid w:val="00AC0755"/>
    <w:rsid w:val="00AC5BA4"/>
    <w:rsid w:val="00AD4994"/>
    <w:rsid w:val="00AE136D"/>
    <w:rsid w:val="00AF6594"/>
    <w:rsid w:val="00B034FE"/>
    <w:rsid w:val="00B040D3"/>
    <w:rsid w:val="00B1032B"/>
    <w:rsid w:val="00B16727"/>
    <w:rsid w:val="00B3244F"/>
    <w:rsid w:val="00B43E51"/>
    <w:rsid w:val="00B45E3B"/>
    <w:rsid w:val="00B47739"/>
    <w:rsid w:val="00B606CB"/>
    <w:rsid w:val="00B701A9"/>
    <w:rsid w:val="00B701C9"/>
    <w:rsid w:val="00B737B5"/>
    <w:rsid w:val="00B76040"/>
    <w:rsid w:val="00B82F72"/>
    <w:rsid w:val="00B946B9"/>
    <w:rsid w:val="00B957D8"/>
    <w:rsid w:val="00BA50C3"/>
    <w:rsid w:val="00BB068C"/>
    <w:rsid w:val="00BB36FE"/>
    <w:rsid w:val="00BC593C"/>
    <w:rsid w:val="00BE7773"/>
    <w:rsid w:val="00BE797B"/>
    <w:rsid w:val="00C026EE"/>
    <w:rsid w:val="00C07E6E"/>
    <w:rsid w:val="00C11AF8"/>
    <w:rsid w:val="00C16261"/>
    <w:rsid w:val="00C22571"/>
    <w:rsid w:val="00C24F4F"/>
    <w:rsid w:val="00C27B0D"/>
    <w:rsid w:val="00C3537D"/>
    <w:rsid w:val="00C368E4"/>
    <w:rsid w:val="00C423E7"/>
    <w:rsid w:val="00C54014"/>
    <w:rsid w:val="00C6381D"/>
    <w:rsid w:val="00C75BFE"/>
    <w:rsid w:val="00C83721"/>
    <w:rsid w:val="00C9577D"/>
    <w:rsid w:val="00C95850"/>
    <w:rsid w:val="00C9743A"/>
    <w:rsid w:val="00CA388C"/>
    <w:rsid w:val="00CA686A"/>
    <w:rsid w:val="00CB001A"/>
    <w:rsid w:val="00CB3A5D"/>
    <w:rsid w:val="00CB7CD1"/>
    <w:rsid w:val="00CC085E"/>
    <w:rsid w:val="00CC1C2E"/>
    <w:rsid w:val="00CC6558"/>
    <w:rsid w:val="00CD4513"/>
    <w:rsid w:val="00CD7510"/>
    <w:rsid w:val="00CE5543"/>
    <w:rsid w:val="00CF0D1A"/>
    <w:rsid w:val="00D04E71"/>
    <w:rsid w:val="00D216B3"/>
    <w:rsid w:val="00D21EAB"/>
    <w:rsid w:val="00D270DF"/>
    <w:rsid w:val="00D31BB1"/>
    <w:rsid w:val="00D50A8A"/>
    <w:rsid w:val="00D53012"/>
    <w:rsid w:val="00D5491B"/>
    <w:rsid w:val="00D620C3"/>
    <w:rsid w:val="00D810FF"/>
    <w:rsid w:val="00D862FA"/>
    <w:rsid w:val="00D96F21"/>
    <w:rsid w:val="00DA627A"/>
    <w:rsid w:val="00DC0ED3"/>
    <w:rsid w:val="00DC28DF"/>
    <w:rsid w:val="00DC40F5"/>
    <w:rsid w:val="00DC548C"/>
    <w:rsid w:val="00DF1AB3"/>
    <w:rsid w:val="00DF29A0"/>
    <w:rsid w:val="00DF470E"/>
    <w:rsid w:val="00DF4D39"/>
    <w:rsid w:val="00E06C1B"/>
    <w:rsid w:val="00E1245A"/>
    <w:rsid w:val="00E141E8"/>
    <w:rsid w:val="00E2469F"/>
    <w:rsid w:val="00E33810"/>
    <w:rsid w:val="00E35C4A"/>
    <w:rsid w:val="00E534F1"/>
    <w:rsid w:val="00E60CBC"/>
    <w:rsid w:val="00E61D95"/>
    <w:rsid w:val="00E7295D"/>
    <w:rsid w:val="00E749D5"/>
    <w:rsid w:val="00E8271A"/>
    <w:rsid w:val="00E877DA"/>
    <w:rsid w:val="00EA2489"/>
    <w:rsid w:val="00EB0A3F"/>
    <w:rsid w:val="00EB242B"/>
    <w:rsid w:val="00EB66D3"/>
    <w:rsid w:val="00ED0868"/>
    <w:rsid w:val="00EF21A3"/>
    <w:rsid w:val="00F04EB6"/>
    <w:rsid w:val="00F075C3"/>
    <w:rsid w:val="00F2002B"/>
    <w:rsid w:val="00F20808"/>
    <w:rsid w:val="00F24C8E"/>
    <w:rsid w:val="00F43F7F"/>
    <w:rsid w:val="00F56F18"/>
    <w:rsid w:val="00F60FEE"/>
    <w:rsid w:val="00F63251"/>
    <w:rsid w:val="00F718FF"/>
    <w:rsid w:val="00F77A97"/>
    <w:rsid w:val="00F91071"/>
    <w:rsid w:val="00F942FD"/>
    <w:rsid w:val="00F97E51"/>
    <w:rsid w:val="00FA1F3C"/>
    <w:rsid w:val="00FA488F"/>
    <w:rsid w:val="00FB21DF"/>
    <w:rsid w:val="00FB48F9"/>
    <w:rsid w:val="00FB7CF7"/>
    <w:rsid w:val="00FB7DAA"/>
    <w:rsid w:val="00FC4FDE"/>
    <w:rsid w:val="00FD3F28"/>
    <w:rsid w:val="00FD3FAA"/>
    <w:rsid w:val="00FD775D"/>
    <w:rsid w:val="00FD7CC3"/>
    <w:rsid w:val="00FE47A1"/>
    <w:rsid w:val="00FF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8859"/>
  <w15:chartTrackingRefBased/>
  <w15:docId w15:val="{74C0DC45-7248-4F9A-9BFF-BFCD79F1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06D"/>
  </w:style>
  <w:style w:type="paragraph" w:styleId="Heading1">
    <w:name w:val="heading 1"/>
    <w:basedOn w:val="Normal"/>
    <w:next w:val="Normal"/>
    <w:link w:val="Heading1Char"/>
    <w:uiPriority w:val="9"/>
    <w:qFormat/>
    <w:rsid w:val="00227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06D"/>
    <w:rPr>
      <w:rFonts w:eastAsiaTheme="majorEastAsia" w:cstheme="majorBidi"/>
      <w:color w:val="272727" w:themeColor="text1" w:themeTint="D8"/>
    </w:rPr>
  </w:style>
  <w:style w:type="paragraph" w:styleId="Title">
    <w:name w:val="Title"/>
    <w:basedOn w:val="Normal"/>
    <w:next w:val="Normal"/>
    <w:link w:val="TitleChar"/>
    <w:uiPriority w:val="10"/>
    <w:qFormat/>
    <w:rsid w:val="00227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06D"/>
    <w:pPr>
      <w:spacing w:before="160"/>
      <w:jc w:val="center"/>
    </w:pPr>
    <w:rPr>
      <w:i/>
      <w:iCs/>
      <w:color w:val="404040" w:themeColor="text1" w:themeTint="BF"/>
    </w:rPr>
  </w:style>
  <w:style w:type="character" w:customStyle="1" w:styleId="QuoteChar">
    <w:name w:val="Quote Char"/>
    <w:basedOn w:val="DefaultParagraphFont"/>
    <w:link w:val="Quote"/>
    <w:uiPriority w:val="29"/>
    <w:rsid w:val="0022706D"/>
    <w:rPr>
      <w:i/>
      <w:iCs/>
      <w:color w:val="404040" w:themeColor="text1" w:themeTint="BF"/>
    </w:rPr>
  </w:style>
  <w:style w:type="paragraph" w:styleId="ListParagraph">
    <w:name w:val="List Paragraph"/>
    <w:basedOn w:val="Normal"/>
    <w:uiPriority w:val="34"/>
    <w:qFormat/>
    <w:rsid w:val="0022706D"/>
    <w:pPr>
      <w:ind w:left="720"/>
      <w:contextualSpacing/>
    </w:pPr>
  </w:style>
  <w:style w:type="character" w:styleId="IntenseEmphasis">
    <w:name w:val="Intense Emphasis"/>
    <w:basedOn w:val="DefaultParagraphFont"/>
    <w:uiPriority w:val="21"/>
    <w:qFormat/>
    <w:rsid w:val="0022706D"/>
    <w:rPr>
      <w:i/>
      <w:iCs/>
      <w:color w:val="0F4761" w:themeColor="accent1" w:themeShade="BF"/>
    </w:rPr>
  </w:style>
  <w:style w:type="paragraph" w:styleId="IntenseQuote">
    <w:name w:val="Intense Quote"/>
    <w:basedOn w:val="Normal"/>
    <w:next w:val="Normal"/>
    <w:link w:val="IntenseQuoteChar"/>
    <w:uiPriority w:val="30"/>
    <w:qFormat/>
    <w:rsid w:val="00227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06D"/>
    <w:rPr>
      <w:i/>
      <w:iCs/>
      <w:color w:val="0F4761" w:themeColor="accent1" w:themeShade="BF"/>
    </w:rPr>
  </w:style>
  <w:style w:type="character" w:styleId="IntenseReference">
    <w:name w:val="Intense Reference"/>
    <w:basedOn w:val="DefaultParagraphFont"/>
    <w:uiPriority w:val="32"/>
    <w:qFormat/>
    <w:rsid w:val="0022706D"/>
    <w:rPr>
      <w:b/>
      <w:bCs/>
      <w:smallCaps/>
      <w:color w:val="0F4761" w:themeColor="accent1" w:themeShade="BF"/>
      <w:spacing w:val="5"/>
    </w:rPr>
  </w:style>
  <w:style w:type="paragraph" w:styleId="NoSpacing">
    <w:name w:val="No Spacing"/>
    <w:uiPriority w:val="1"/>
    <w:qFormat/>
    <w:rsid w:val="0022706D"/>
    <w:pPr>
      <w:spacing w:after="0" w:line="240" w:lineRule="auto"/>
    </w:pPr>
  </w:style>
  <w:style w:type="paragraph" w:styleId="Header">
    <w:name w:val="header"/>
    <w:basedOn w:val="Normal"/>
    <w:link w:val="HeaderChar"/>
    <w:uiPriority w:val="99"/>
    <w:unhideWhenUsed/>
    <w:rsid w:val="00396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7FB"/>
  </w:style>
  <w:style w:type="paragraph" w:styleId="Footer">
    <w:name w:val="footer"/>
    <w:basedOn w:val="Normal"/>
    <w:link w:val="FooterChar"/>
    <w:uiPriority w:val="99"/>
    <w:unhideWhenUsed/>
    <w:rsid w:val="00396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7FB"/>
  </w:style>
  <w:style w:type="character" w:styleId="Hyperlink">
    <w:name w:val="Hyperlink"/>
    <w:basedOn w:val="DefaultParagraphFont"/>
    <w:uiPriority w:val="99"/>
    <w:unhideWhenUsed/>
    <w:rsid w:val="00D21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mew5vtp56" TargetMode="External"/><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241A409833A42827288BBDF2ED2F2" ma:contentTypeVersion="5" ma:contentTypeDescription="Create a new document." ma:contentTypeScope="" ma:versionID="04bb8b77d59762ea7ef5aa33b3cd2afd">
  <xsd:schema xmlns:xsd="http://www.w3.org/2001/XMLSchema" xmlns:xs="http://www.w3.org/2001/XMLSchema" xmlns:p="http://schemas.microsoft.com/office/2006/metadata/properties" xmlns:ns1="http://schemas.microsoft.com/sharepoint/v3" xmlns:ns2="43182fc4-bc49-40a6-9dd5-41e4a5073683" targetNamespace="http://schemas.microsoft.com/office/2006/metadata/properties" ma:root="true" ma:fieldsID="541076d9c6f4cdece11c8b7e1250e3a3" ns1:_="" ns2:_="">
    <xsd:import namespace="http://schemas.microsoft.com/sharepoint/v3"/>
    <xsd:import namespace="43182fc4-bc49-40a6-9dd5-41e4a5073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2fc4-bc49-40a6-9dd5-41e4a5073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BB94D4-1C5D-43B6-ACC2-BBB0395954A8}"/>
</file>

<file path=customXml/itemProps2.xml><?xml version="1.0" encoding="utf-8"?>
<ds:datastoreItem xmlns:ds="http://schemas.openxmlformats.org/officeDocument/2006/customXml" ds:itemID="{17ED8715-5A8E-413F-8015-B33198185E09}"/>
</file>

<file path=customXml/itemProps3.xml><?xml version="1.0" encoding="utf-8"?>
<ds:datastoreItem xmlns:ds="http://schemas.openxmlformats.org/officeDocument/2006/customXml" ds:itemID="{5BB7F157-2092-4738-86BB-41E8413B7865}"/>
</file>

<file path=docProps/app.xml><?xml version="1.0" encoding="utf-8"?>
<Properties xmlns="http://schemas.openxmlformats.org/officeDocument/2006/extended-properties" xmlns:vt="http://schemas.openxmlformats.org/officeDocument/2006/docPropsVTypes">
  <Template>Normal</Template>
  <TotalTime>37</TotalTime>
  <Pages>11</Pages>
  <Words>2705</Words>
  <Characters>14690</Characters>
  <Application>Microsoft Office Word</Application>
  <DocSecurity>0</DocSecurity>
  <Lines>326</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Dion</dc:creator>
  <cp:keywords/>
  <dc:description/>
  <cp:lastModifiedBy>Matt Dion</cp:lastModifiedBy>
  <cp:revision>19</cp:revision>
  <dcterms:created xsi:type="dcterms:W3CDTF">2026-02-13T17:55:00Z</dcterms:created>
  <dcterms:modified xsi:type="dcterms:W3CDTF">2026-02-17T21:47:00Z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0x010100745241A409833A42827288BBDF2ED2F2</vt:lpwstr>
  </property>
</Properties>
</file>